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C4CA" w14:textId="5B7CDEB7" w:rsidR="001D7734" w:rsidRPr="008029EA" w:rsidRDefault="001D7734" w:rsidP="001D7734">
      <w:pPr>
        <w:pStyle w:val="CRCoverPage"/>
        <w:tabs>
          <w:tab w:val="right" w:pos="9639"/>
        </w:tabs>
        <w:spacing w:after="0"/>
        <w:rPr>
          <w:b/>
          <w:noProof/>
          <w:sz w:val="24"/>
        </w:rPr>
      </w:pPr>
      <w:bookmarkStart w:id="0" w:name="_Toc193024528"/>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9C6046">
        <w:rPr>
          <w:b/>
          <w:noProof/>
          <w:sz w:val="24"/>
        </w:rPr>
        <w:t>10160</w:t>
      </w:r>
    </w:p>
    <w:p w14:paraId="68255671" w14:textId="77777777" w:rsidR="001D7734" w:rsidRPr="008029EA" w:rsidRDefault="001D7734" w:rsidP="001D7734">
      <w:pPr>
        <w:pStyle w:val="CRCoverPage"/>
        <w:outlineLvl w:val="0"/>
        <w:rPr>
          <w:b/>
          <w:noProof/>
          <w:sz w:val="24"/>
        </w:rPr>
      </w:pPr>
      <w:r>
        <w:rPr>
          <w:b/>
          <w:noProof/>
          <w:sz w:val="24"/>
          <w:lang w:eastAsia="zh-CN"/>
        </w:rPr>
        <w:t>Orlando, USA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w:t>
      </w:r>
      <w:r>
        <w:rPr>
          <w:b/>
          <w:noProof/>
          <w:sz w:val="24"/>
        </w:rPr>
        <w:t>8</w:t>
      </w:r>
      <w:r w:rsidRPr="008029EA">
        <w:rPr>
          <w:b/>
          <w:noProof/>
          <w:sz w:val="24"/>
        </w:rPr>
        <w:t xml:space="preserve"> – </w:t>
      </w:r>
      <w:r>
        <w:rPr>
          <w:b/>
          <w:noProof/>
          <w:sz w:val="24"/>
        </w:rPr>
        <w:t>22</w:t>
      </w:r>
      <w:r w:rsidRPr="008029EA">
        <w:rPr>
          <w:b/>
          <w:noProof/>
          <w:sz w:val="24"/>
        </w:rPr>
        <w:t xml:space="preserve"> </w:t>
      </w:r>
      <w:r>
        <w:rPr>
          <w:b/>
          <w:noProof/>
          <w:sz w:val="24"/>
        </w:rPr>
        <w:t>November</w:t>
      </w:r>
      <w:r w:rsidRPr="008029EA">
        <w:rPr>
          <w:b/>
          <w:noProof/>
          <w:sz w:val="24"/>
        </w:rPr>
        <w:t>, 2024</w:t>
      </w:r>
    </w:p>
    <w:p w14:paraId="68A217B4" w14:textId="77777777" w:rsidR="00505E15" w:rsidRPr="0062079E" w:rsidRDefault="007B4780" w:rsidP="00C93588">
      <w:pPr>
        <w:pStyle w:val="a5"/>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45841385"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14461D">
        <w:rPr>
          <w:rFonts w:ascii="Arial" w:hAnsi="Arial"/>
          <w:b/>
          <w:sz w:val="24"/>
          <w:lang w:val="fr-CA"/>
        </w:rPr>
        <w:t>8.15</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67ACF12C"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726537" w:rsidRPr="00726537">
        <w:rPr>
          <w:rFonts w:ascii="Arial" w:hAnsi="Arial"/>
          <w:b/>
          <w:sz w:val="24"/>
        </w:rPr>
        <w:t>Discussion on t</w:t>
      </w:r>
      <w:r w:rsidR="00EE3D14">
        <w:rPr>
          <w:rFonts w:ascii="Arial" w:hAnsi="Arial" w:hint="eastAsia"/>
          <w:b/>
          <w:sz w:val="24"/>
        </w:rPr>
        <w:t>h</w:t>
      </w:r>
      <w:r w:rsidR="00EE3D14">
        <w:rPr>
          <w:rFonts w:ascii="Arial" w:hAnsi="Arial"/>
          <w:b/>
          <w:sz w:val="24"/>
        </w:rPr>
        <w:t>e remaining issues for BDS B2b</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995F11C" w14:textId="2C5EC1DD" w:rsidR="00E252F3" w:rsidRDefault="005C7DA1" w:rsidP="00DD670D">
      <w:pPr>
        <w:spacing w:before="100" w:beforeAutospacing="1" w:after="100" w:afterAutospacing="1"/>
        <w:jc w:val="both"/>
        <w:rPr>
          <w:color w:val="000000"/>
        </w:rPr>
      </w:pPr>
      <w:r>
        <w:rPr>
          <w:color w:val="000000"/>
        </w:rPr>
        <w:t>Regarding the introduction of BDS B2b signal, in the previous RAN2 meeting, the following agreements have been made:</w:t>
      </w:r>
    </w:p>
    <w:p w14:paraId="46EC6FDC" w14:textId="77777777" w:rsidR="007B0559" w:rsidRDefault="007B0559" w:rsidP="007B0559">
      <w:pPr>
        <w:pStyle w:val="Doc-text2"/>
      </w:pPr>
    </w:p>
    <w:p w14:paraId="778C3372" w14:textId="77777777" w:rsidR="007B0559" w:rsidRDefault="007B0559" w:rsidP="00B84D5A">
      <w:pPr>
        <w:pStyle w:val="Doc-text2"/>
        <w:pBdr>
          <w:top w:val="single" w:sz="4" w:space="1" w:color="auto"/>
          <w:left w:val="single" w:sz="4" w:space="4" w:color="auto"/>
          <w:bottom w:val="single" w:sz="4" w:space="1" w:color="auto"/>
          <w:right w:val="single" w:sz="4" w:space="0" w:color="auto"/>
        </w:pBdr>
        <w:ind w:leftChars="329" w:left="1021" w:rightChars="496" w:right="992"/>
      </w:pPr>
      <w:r>
        <w:t>Agreements:</w:t>
      </w:r>
    </w:p>
    <w:p w14:paraId="589E852A" w14:textId="77777777" w:rsidR="007B0559" w:rsidRDefault="007B0559" w:rsidP="00B84D5A">
      <w:pPr>
        <w:pStyle w:val="Doc-text2"/>
        <w:pBdr>
          <w:top w:val="single" w:sz="4" w:space="1" w:color="auto"/>
          <w:left w:val="single" w:sz="4" w:space="4" w:color="auto"/>
          <w:bottom w:val="single" w:sz="4" w:space="1" w:color="auto"/>
          <w:right w:val="single" w:sz="4" w:space="0" w:color="auto"/>
        </w:pBdr>
        <w:ind w:leftChars="329" w:left="1021" w:rightChars="496" w:right="992"/>
      </w:pPr>
      <w:r>
        <w:t>Introduce new parameters for B2b signal in the following affected IEs:</w:t>
      </w:r>
    </w:p>
    <w:p w14:paraId="546773B3" w14:textId="77777777" w:rsidR="007B0559" w:rsidRDefault="007B0559" w:rsidP="00B84D5A">
      <w:pPr>
        <w:pStyle w:val="Doc-text2"/>
        <w:pBdr>
          <w:top w:val="single" w:sz="4" w:space="1" w:color="auto"/>
          <w:left w:val="single" w:sz="4" w:space="4" w:color="auto"/>
          <w:bottom w:val="single" w:sz="4" w:space="1" w:color="auto"/>
          <w:right w:val="single" w:sz="4" w:space="0" w:color="auto"/>
        </w:pBdr>
        <w:ind w:leftChars="329" w:left="1021" w:rightChars="496" w:right="992"/>
      </w:pPr>
      <w:r>
        <w:softHyphen/>
      </w:r>
      <w:r>
        <w:tab/>
      </w:r>
      <w:proofErr w:type="spellStart"/>
      <w:r>
        <w:t>AlmanacReducedKeplerianSet</w:t>
      </w:r>
      <w:proofErr w:type="spellEnd"/>
      <w:r>
        <w:t>: Add one bit to indicate health state of B2b_I signal.</w:t>
      </w:r>
    </w:p>
    <w:p w14:paraId="1FCE72E5" w14:textId="77777777" w:rsidR="007B0559" w:rsidRDefault="007B0559" w:rsidP="00B84D5A">
      <w:pPr>
        <w:pStyle w:val="Doc-text2"/>
        <w:pBdr>
          <w:top w:val="single" w:sz="4" w:space="1" w:color="auto"/>
          <w:left w:val="single" w:sz="4" w:space="4" w:color="auto"/>
          <w:bottom w:val="single" w:sz="4" w:space="1" w:color="auto"/>
          <w:right w:val="single" w:sz="4" w:space="0" w:color="auto"/>
        </w:pBdr>
        <w:ind w:leftChars="329" w:left="1021" w:rightChars="496" w:right="992"/>
      </w:pPr>
      <w:r>
        <w:softHyphen/>
      </w:r>
      <w:r>
        <w:tab/>
      </w:r>
      <w:proofErr w:type="spellStart"/>
      <w:r>
        <w:t>AlmanacMidiAlmanacSet</w:t>
      </w:r>
      <w:proofErr w:type="spellEnd"/>
      <w:r>
        <w:t>: Add one bit to indicate health state of B2b_I signal.</w:t>
      </w:r>
    </w:p>
    <w:p w14:paraId="4E1A7F00" w14:textId="77777777" w:rsidR="007B0559" w:rsidRDefault="007B0559" w:rsidP="00B84D5A">
      <w:pPr>
        <w:pStyle w:val="Doc-text2"/>
        <w:pBdr>
          <w:top w:val="single" w:sz="4" w:space="1" w:color="auto"/>
          <w:left w:val="single" w:sz="4" w:space="4" w:color="auto"/>
          <w:bottom w:val="single" w:sz="4" w:space="1" w:color="auto"/>
          <w:right w:val="single" w:sz="4" w:space="0" w:color="auto"/>
        </w:pBdr>
        <w:ind w:leftChars="329" w:left="1021" w:rightChars="496" w:right="992"/>
      </w:pPr>
      <w:r>
        <w:softHyphen/>
      </w:r>
      <w:r>
        <w:tab/>
        <w:t>BDS-ClockModel2: Add one bit to indicate group delay differential between BDS B2b and B3I signal.</w:t>
      </w:r>
    </w:p>
    <w:p w14:paraId="69870B99" w14:textId="77777777" w:rsidR="007B0559" w:rsidRDefault="007B0559" w:rsidP="00B84D5A">
      <w:pPr>
        <w:pStyle w:val="Doc-text2"/>
        <w:pBdr>
          <w:top w:val="single" w:sz="4" w:space="1" w:color="auto"/>
          <w:left w:val="single" w:sz="4" w:space="4" w:color="auto"/>
          <w:bottom w:val="single" w:sz="4" w:space="1" w:color="auto"/>
          <w:right w:val="single" w:sz="4" w:space="0" w:color="auto"/>
        </w:pBdr>
        <w:ind w:leftChars="329" w:left="1021" w:rightChars="496" w:right="992"/>
      </w:pPr>
      <w:r>
        <w:softHyphen/>
      </w:r>
      <w:r>
        <w:tab/>
        <w:t>GNSS-</w:t>
      </w:r>
      <w:proofErr w:type="spellStart"/>
      <w:r>
        <w:t>SignalID</w:t>
      </w:r>
      <w:proofErr w:type="spellEnd"/>
      <w:r>
        <w:t>: Use one value to indicate the B2b I signal.</w:t>
      </w:r>
    </w:p>
    <w:p w14:paraId="7CD4DC4C" w14:textId="77777777" w:rsidR="007B0559" w:rsidRDefault="007B0559" w:rsidP="00B84D5A">
      <w:pPr>
        <w:pStyle w:val="Doc-text2"/>
        <w:pBdr>
          <w:top w:val="single" w:sz="4" w:space="1" w:color="auto"/>
          <w:left w:val="single" w:sz="4" w:space="4" w:color="auto"/>
          <w:bottom w:val="single" w:sz="4" w:space="1" w:color="auto"/>
          <w:right w:val="single" w:sz="4" w:space="0" w:color="auto"/>
        </w:pBdr>
        <w:ind w:leftChars="329" w:left="1021" w:rightChars="496" w:right="992"/>
      </w:pPr>
      <w:r>
        <w:softHyphen/>
      </w:r>
      <w:r>
        <w:tab/>
        <w:t>GNSS-</w:t>
      </w:r>
      <w:proofErr w:type="spellStart"/>
      <w:r>
        <w:t>SignalIDs</w:t>
      </w:r>
      <w:proofErr w:type="spellEnd"/>
      <w:r>
        <w:t>: Use one value to indicate the B2b I signal.</w:t>
      </w:r>
    </w:p>
    <w:p w14:paraId="0D144926" w14:textId="77777777" w:rsidR="007B0559" w:rsidRDefault="007B0559" w:rsidP="00B84D5A">
      <w:pPr>
        <w:pStyle w:val="Doc-text2"/>
        <w:pBdr>
          <w:top w:val="single" w:sz="4" w:space="1" w:color="auto"/>
          <w:left w:val="single" w:sz="4" w:space="4" w:color="auto"/>
          <w:bottom w:val="single" w:sz="4" w:space="1" w:color="auto"/>
          <w:right w:val="single" w:sz="4" w:space="0" w:color="auto"/>
        </w:pBdr>
        <w:ind w:leftChars="329" w:left="1021" w:rightChars="496" w:right="992"/>
      </w:pPr>
      <w:r>
        <w:softHyphen/>
        <w:t xml:space="preserve">FFS: </w:t>
      </w:r>
      <w:proofErr w:type="spellStart"/>
      <w:r>
        <w:t>Iod</w:t>
      </w:r>
      <w:proofErr w:type="spellEnd"/>
      <w:r>
        <w:t xml:space="preserve">: Add one bit B2b signal in ‘GNSS to </w:t>
      </w:r>
      <w:proofErr w:type="spellStart"/>
      <w:r>
        <w:t>iod</w:t>
      </w:r>
      <w:proofErr w:type="spellEnd"/>
      <w:r>
        <w:t xml:space="preserve"> Bit </w:t>
      </w:r>
      <w:proofErr w:type="gramStart"/>
      <w:r>
        <w:t>String(</w:t>
      </w:r>
      <w:proofErr w:type="gramEnd"/>
      <w:r>
        <w:t>11) relation’ table.</w:t>
      </w:r>
    </w:p>
    <w:p w14:paraId="5E46DBE5" w14:textId="77777777" w:rsidR="007B0559" w:rsidRPr="00064629" w:rsidRDefault="007B0559" w:rsidP="007B0559">
      <w:pPr>
        <w:pStyle w:val="Doc-text2"/>
      </w:pPr>
    </w:p>
    <w:p w14:paraId="4A3FF415" w14:textId="25AF64C7" w:rsidR="005C7DA1" w:rsidRPr="009A7594" w:rsidRDefault="007B0559" w:rsidP="00DD670D">
      <w:pPr>
        <w:spacing w:before="100" w:beforeAutospacing="1" w:after="100" w:afterAutospacing="1"/>
        <w:jc w:val="both"/>
        <w:rPr>
          <w:color w:val="000000"/>
        </w:rPr>
      </w:pPr>
      <w:r>
        <w:rPr>
          <w:rFonts w:hint="eastAsia"/>
          <w:color w:val="000000"/>
        </w:rPr>
        <w:t>I</w:t>
      </w:r>
      <w:r>
        <w:rPr>
          <w:color w:val="000000"/>
        </w:rPr>
        <w:t>n this contribution, we continue the discussion on the remaining issues</w:t>
      </w:r>
      <w:r w:rsidR="002517E1">
        <w:rPr>
          <w:color w:val="000000"/>
        </w:rPr>
        <w:t>.</w:t>
      </w:r>
    </w:p>
    <w:p w14:paraId="3FC2A83F" w14:textId="0360B9A1" w:rsidR="000B1B5F" w:rsidRDefault="00585087" w:rsidP="000B1B5F">
      <w:pPr>
        <w:pStyle w:val="1"/>
        <w:spacing w:before="100" w:beforeAutospacing="1" w:after="100" w:afterAutospacing="1"/>
        <w:ind w:left="0" w:firstLine="0"/>
        <w:jc w:val="both"/>
      </w:pPr>
      <w:r>
        <w:t xml:space="preserve">2. </w:t>
      </w:r>
      <w:bookmarkStart w:id="1" w:name="OLE_LINK1"/>
      <w:bookmarkStart w:id="2" w:name="OLE_LINK2"/>
      <w:r w:rsidR="00EF2EEF">
        <w:t>D</w:t>
      </w:r>
      <w:r w:rsidR="000B1B5F">
        <w:t>iscussion</w:t>
      </w:r>
    </w:p>
    <w:p w14:paraId="559FBAE5" w14:textId="77777777" w:rsidR="006402FB" w:rsidRDefault="006402FB" w:rsidP="006402FB">
      <w:r>
        <w:t>According to the ICD, within the nav message of BDS B2b, the following fields have been added for B2b. Basically, for the support of BDS B2b in A-GNSS, what we need to do is to carry these information elements defined in the nav message within the LPP message. We examine the spec impacts of each parameter within the nav message one by one</w:t>
      </w:r>
    </w:p>
    <w:tbl>
      <w:tblPr>
        <w:tblStyle w:val="af6"/>
        <w:tblW w:w="9634" w:type="dxa"/>
        <w:tblLayout w:type="fixed"/>
        <w:tblLook w:val="04A0" w:firstRow="1" w:lastRow="0" w:firstColumn="1" w:lastColumn="0" w:noHBand="0" w:noVBand="1"/>
      </w:tblPr>
      <w:tblGrid>
        <w:gridCol w:w="1161"/>
        <w:gridCol w:w="4788"/>
        <w:gridCol w:w="3685"/>
      </w:tblGrid>
      <w:tr w:rsidR="001418E0" w14:paraId="349D7EF9" w14:textId="77777777" w:rsidTr="001418E0">
        <w:tc>
          <w:tcPr>
            <w:tcW w:w="116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9B30A3" w14:textId="77777777" w:rsidR="001418E0" w:rsidRDefault="001418E0">
            <w:r>
              <w:t xml:space="preserve">Nav message elements </w:t>
            </w:r>
          </w:p>
        </w:tc>
        <w:tc>
          <w:tcPr>
            <w:tcW w:w="4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A5D3AE" w14:textId="77777777" w:rsidR="001418E0" w:rsidRDefault="001418E0">
            <w:r>
              <w:t>Description for the element</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B6746F" w14:textId="77777777" w:rsidR="001418E0" w:rsidRDefault="001418E0">
            <w:r>
              <w:t>LPP spec impact</w:t>
            </w:r>
          </w:p>
        </w:tc>
      </w:tr>
      <w:tr w:rsidR="001418E0" w14:paraId="12604687"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191CD639" w14:textId="77777777" w:rsidR="001418E0" w:rsidRDefault="001418E0">
            <w:r>
              <w:t>PRN</w:t>
            </w:r>
          </w:p>
        </w:tc>
        <w:tc>
          <w:tcPr>
            <w:tcW w:w="4788" w:type="dxa"/>
            <w:tcBorders>
              <w:top w:val="single" w:sz="4" w:space="0" w:color="auto"/>
              <w:left w:val="single" w:sz="4" w:space="0" w:color="auto"/>
              <w:bottom w:val="single" w:sz="4" w:space="0" w:color="auto"/>
              <w:right w:val="single" w:sz="4" w:space="0" w:color="auto"/>
            </w:tcBorders>
            <w:hideMark/>
          </w:tcPr>
          <w:p w14:paraId="0253124A" w14:textId="77777777" w:rsidR="001418E0" w:rsidRDefault="001418E0">
            <w:r>
              <w:t>identity for the satellite</w:t>
            </w:r>
          </w:p>
        </w:tc>
        <w:tc>
          <w:tcPr>
            <w:tcW w:w="3685" w:type="dxa"/>
            <w:tcBorders>
              <w:top w:val="single" w:sz="4" w:space="0" w:color="auto"/>
              <w:left w:val="single" w:sz="4" w:space="0" w:color="auto"/>
              <w:bottom w:val="single" w:sz="4" w:space="0" w:color="auto"/>
              <w:right w:val="single" w:sz="4" w:space="0" w:color="auto"/>
            </w:tcBorders>
            <w:hideMark/>
          </w:tcPr>
          <w:p w14:paraId="47F16298" w14:textId="77777777" w:rsidR="001418E0" w:rsidRDefault="001418E0">
            <w:r>
              <w:t xml:space="preserve">Corresponds to the IE </w:t>
            </w:r>
            <w:r>
              <w:rPr>
                <w:i/>
                <w:iCs/>
              </w:rPr>
              <w:t>SV-ID</w:t>
            </w:r>
            <w:r>
              <w:t xml:space="preserve"> in the current LPP spec. legacy IE can be reused but reference needs to be added</w:t>
            </w:r>
          </w:p>
        </w:tc>
      </w:tr>
      <w:tr w:rsidR="001418E0" w14:paraId="3703E8EF"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127E6357" w14:textId="77777777" w:rsidR="001418E0" w:rsidRDefault="001418E0">
            <w:r>
              <w:t>Message Types</w:t>
            </w:r>
          </w:p>
        </w:tc>
        <w:tc>
          <w:tcPr>
            <w:tcW w:w="4788" w:type="dxa"/>
            <w:tcBorders>
              <w:top w:val="single" w:sz="4" w:space="0" w:color="auto"/>
              <w:left w:val="single" w:sz="4" w:space="0" w:color="auto"/>
              <w:bottom w:val="single" w:sz="4" w:space="0" w:color="auto"/>
              <w:right w:val="single" w:sz="4" w:space="0" w:color="auto"/>
            </w:tcBorders>
            <w:hideMark/>
          </w:tcPr>
          <w:p w14:paraId="15B5C039" w14:textId="77777777" w:rsidR="001418E0" w:rsidRDefault="001418E0">
            <w:proofErr w:type="spellStart"/>
            <w:r w:rsidRPr="008D1DB0">
              <w:rPr>
                <w:i/>
                <w:iCs/>
              </w:rPr>
              <w:t>MesType</w:t>
            </w:r>
            <w:proofErr w:type="spellEnd"/>
            <w:r>
              <w:t xml:space="preserve"> is used to identify the message types of the B-CNAV3 frames</w:t>
            </w:r>
          </w:p>
        </w:tc>
        <w:tc>
          <w:tcPr>
            <w:tcW w:w="3685" w:type="dxa"/>
            <w:tcBorders>
              <w:top w:val="single" w:sz="4" w:space="0" w:color="auto"/>
              <w:left w:val="single" w:sz="4" w:space="0" w:color="auto"/>
              <w:bottom w:val="single" w:sz="4" w:space="0" w:color="auto"/>
              <w:right w:val="single" w:sz="4" w:space="0" w:color="auto"/>
            </w:tcBorders>
            <w:hideMark/>
          </w:tcPr>
          <w:p w14:paraId="789C0659" w14:textId="77777777" w:rsidR="001418E0" w:rsidRDefault="001418E0">
            <w:r>
              <w:t xml:space="preserve">No change needed. </w:t>
            </w:r>
          </w:p>
          <w:p w14:paraId="14AC74A7" w14:textId="77777777" w:rsidR="001418E0" w:rsidRDefault="001418E0">
            <w:r>
              <w:t>Message type is for the format delivered by the satellite link directly. While for GNSS assistance data delivery by LPP transport, it is not needed</w:t>
            </w:r>
          </w:p>
        </w:tc>
      </w:tr>
      <w:tr w:rsidR="001418E0" w14:paraId="2276B30B"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2C0BF07E" w14:textId="77777777" w:rsidR="001418E0" w:rsidRDefault="001418E0">
            <w:r>
              <w:t>SOW</w:t>
            </w:r>
          </w:p>
        </w:tc>
        <w:tc>
          <w:tcPr>
            <w:tcW w:w="4788" w:type="dxa"/>
            <w:tcBorders>
              <w:top w:val="single" w:sz="4" w:space="0" w:color="auto"/>
              <w:left w:val="single" w:sz="4" w:space="0" w:color="auto"/>
              <w:bottom w:val="single" w:sz="4" w:space="0" w:color="auto"/>
              <w:right w:val="single" w:sz="4" w:space="0" w:color="auto"/>
            </w:tcBorders>
            <w:hideMark/>
          </w:tcPr>
          <w:p w14:paraId="6115D92E" w14:textId="77777777" w:rsidR="001418E0" w:rsidRDefault="001418E0">
            <w:r>
              <w:t>Seconds of week</w:t>
            </w:r>
          </w:p>
        </w:tc>
        <w:tc>
          <w:tcPr>
            <w:tcW w:w="3685" w:type="dxa"/>
            <w:tcBorders>
              <w:top w:val="single" w:sz="4" w:space="0" w:color="auto"/>
              <w:left w:val="single" w:sz="4" w:space="0" w:color="auto"/>
              <w:bottom w:val="single" w:sz="4" w:space="0" w:color="auto"/>
              <w:right w:val="single" w:sz="4" w:space="0" w:color="auto"/>
            </w:tcBorders>
            <w:hideMark/>
          </w:tcPr>
          <w:p w14:paraId="1E399786" w14:textId="184ADB3F" w:rsidR="001418E0" w:rsidRPr="00AD4650" w:rsidRDefault="00AD4650">
            <w:r>
              <w:t xml:space="preserve">Can be supported with the </w:t>
            </w:r>
            <w:r>
              <w:rPr>
                <w:rFonts w:hint="eastAsia"/>
                <w:i/>
                <w:iCs/>
              </w:rPr>
              <w:t>GNSS</w:t>
            </w:r>
            <w:r>
              <w:rPr>
                <w:i/>
                <w:iCs/>
              </w:rPr>
              <w:t>-</w:t>
            </w:r>
            <w:proofErr w:type="spellStart"/>
            <w:r>
              <w:rPr>
                <w:i/>
                <w:iCs/>
              </w:rPr>
              <w:t>SystemTime</w:t>
            </w:r>
            <w:proofErr w:type="spellEnd"/>
            <w:r>
              <w:t xml:space="preserve"> field. However, needs to be converted to </w:t>
            </w:r>
            <w:proofErr w:type="spellStart"/>
            <w:r w:rsidRPr="008D1DB0">
              <w:rPr>
                <w:i/>
                <w:iCs/>
              </w:rPr>
              <w:t>gnss-TimeOfDay</w:t>
            </w:r>
            <w:proofErr w:type="spellEnd"/>
            <w:r>
              <w:t xml:space="preserve"> and </w:t>
            </w:r>
            <w:proofErr w:type="spellStart"/>
            <w:r w:rsidRPr="008D1DB0">
              <w:rPr>
                <w:i/>
                <w:iCs/>
              </w:rPr>
              <w:t>gnss-DayNumber</w:t>
            </w:r>
            <w:proofErr w:type="spellEnd"/>
            <w:r>
              <w:t xml:space="preserve"> </w:t>
            </w:r>
            <w:r w:rsidR="00E36AAA">
              <w:t xml:space="preserve">with the counting </w:t>
            </w:r>
            <w:r>
              <w:t xml:space="preserve">starting from </w:t>
            </w:r>
            <w:r w:rsidR="00E36AAA" w:rsidRPr="00E36AAA">
              <w:t>January 1st 2006 00:00:00 UTC (NTSC).</w:t>
            </w:r>
          </w:p>
        </w:tc>
      </w:tr>
      <w:tr w:rsidR="001418E0" w14:paraId="3506F495"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3EBF6BC9" w14:textId="77777777" w:rsidR="001418E0" w:rsidRDefault="001418E0">
            <w:r>
              <w:t>WN</w:t>
            </w:r>
          </w:p>
        </w:tc>
        <w:tc>
          <w:tcPr>
            <w:tcW w:w="4788" w:type="dxa"/>
            <w:tcBorders>
              <w:top w:val="single" w:sz="4" w:space="0" w:color="auto"/>
              <w:left w:val="single" w:sz="4" w:space="0" w:color="auto"/>
              <w:bottom w:val="single" w:sz="4" w:space="0" w:color="auto"/>
              <w:right w:val="single" w:sz="4" w:space="0" w:color="auto"/>
            </w:tcBorders>
            <w:hideMark/>
          </w:tcPr>
          <w:p w14:paraId="5096E01A" w14:textId="77777777" w:rsidR="001418E0" w:rsidRDefault="001418E0">
            <w:r>
              <w:t>Week number</w:t>
            </w:r>
          </w:p>
        </w:tc>
        <w:tc>
          <w:tcPr>
            <w:tcW w:w="3685" w:type="dxa"/>
            <w:tcBorders>
              <w:top w:val="single" w:sz="4" w:space="0" w:color="auto"/>
              <w:left w:val="single" w:sz="4" w:space="0" w:color="auto"/>
              <w:bottom w:val="single" w:sz="4" w:space="0" w:color="auto"/>
              <w:right w:val="single" w:sz="4" w:space="0" w:color="auto"/>
            </w:tcBorders>
            <w:hideMark/>
          </w:tcPr>
          <w:p w14:paraId="4720165E" w14:textId="28512CB1" w:rsidR="001418E0" w:rsidRDefault="00E36AAA">
            <w:r>
              <w:t xml:space="preserve">Can be supported with the </w:t>
            </w:r>
            <w:r>
              <w:rPr>
                <w:rFonts w:hint="eastAsia"/>
                <w:i/>
                <w:iCs/>
              </w:rPr>
              <w:t>GNSS</w:t>
            </w:r>
            <w:r>
              <w:rPr>
                <w:i/>
                <w:iCs/>
              </w:rPr>
              <w:t>-</w:t>
            </w:r>
            <w:proofErr w:type="spellStart"/>
            <w:r>
              <w:rPr>
                <w:i/>
                <w:iCs/>
              </w:rPr>
              <w:t>SystemTime</w:t>
            </w:r>
            <w:proofErr w:type="spellEnd"/>
            <w:r>
              <w:t xml:space="preserve"> field. However, needs to be converted to </w:t>
            </w:r>
            <w:proofErr w:type="spellStart"/>
            <w:r w:rsidRPr="008D1DB0">
              <w:rPr>
                <w:i/>
                <w:iCs/>
              </w:rPr>
              <w:t>gnss-TimeOfDay</w:t>
            </w:r>
            <w:proofErr w:type="spellEnd"/>
            <w:r>
              <w:t xml:space="preserve"> and </w:t>
            </w:r>
            <w:proofErr w:type="spellStart"/>
            <w:r w:rsidRPr="008D1DB0">
              <w:rPr>
                <w:i/>
                <w:iCs/>
              </w:rPr>
              <w:t>gnss-DayNumber</w:t>
            </w:r>
            <w:proofErr w:type="spellEnd"/>
            <w:r w:rsidRPr="008D1DB0">
              <w:rPr>
                <w:i/>
                <w:iCs/>
              </w:rPr>
              <w:t xml:space="preserve"> </w:t>
            </w:r>
            <w:r>
              <w:t xml:space="preserve">with the counting starting </w:t>
            </w:r>
            <w:r>
              <w:lastRenderedPageBreak/>
              <w:t xml:space="preserve">from </w:t>
            </w:r>
            <w:r w:rsidRPr="00E36AAA">
              <w:t>January 1st 2006 00:00:00 UTC (NTSC).</w:t>
            </w:r>
          </w:p>
        </w:tc>
      </w:tr>
      <w:tr w:rsidR="001418E0" w14:paraId="6DA91411"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66E1C933" w14:textId="77777777" w:rsidR="001418E0" w:rsidRDefault="001418E0">
            <w:r>
              <w:lastRenderedPageBreak/>
              <w:t>Clock Correction parameters</w:t>
            </w:r>
          </w:p>
        </w:tc>
        <w:tc>
          <w:tcPr>
            <w:tcW w:w="4788" w:type="dxa"/>
            <w:tcBorders>
              <w:top w:val="single" w:sz="4" w:space="0" w:color="auto"/>
              <w:left w:val="single" w:sz="4" w:space="0" w:color="auto"/>
              <w:bottom w:val="single" w:sz="4" w:space="0" w:color="auto"/>
              <w:right w:val="single" w:sz="4" w:space="0" w:color="auto"/>
            </w:tcBorders>
            <w:hideMark/>
          </w:tcPr>
          <w:p w14:paraId="7EF097E5" w14:textId="77777777" w:rsidR="001418E0" w:rsidRDefault="001418E0">
            <w:r>
              <w:t xml:space="preserve">Includes toc, a0, a1, a2 </w:t>
            </w:r>
          </w:p>
          <w:p w14:paraId="6F001B62" w14:textId="32D0F495" w:rsidR="001418E0" w:rsidRDefault="001418E0">
            <w:r>
              <w:rPr>
                <w:noProof/>
              </w:rPr>
              <w:drawing>
                <wp:inline distT="0" distB="0" distL="0" distR="0" wp14:anchorId="7D21F1A6" wp14:editId="09FFBBB6">
                  <wp:extent cx="3018155" cy="8667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8155" cy="866775"/>
                          </a:xfrm>
                          <a:prstGeom prst="rect">
                            <a:avLst/>
                          </a:prstGeom>
                          <a:noFill/>
                          <a:ln>
                            <a:noFill/>
                          </a:ln>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hideMark/>
          </w:tcPr>
          <w:p w14:paraId="72276DB8" w14:textId="5355E434" w:rsidR="001418E0" w:rsidRDefault="001418E0">
            <w:r>
              <w:t>Ca</w:t>
            </w:r>
            <w:r w:rsidR="007A4F32">
              <w:t xml:space="preserve">n </w:t>
            </w:r>
            <w:r>
              <w:t xml:space="preserve">reuse the existing fields in </w:t>
            </w:r>
            <w:r w:rsidRPr="007A4F32">
              <w:rPr>
                <w:i/>
                <w:iCs/>
              </w:rPr>
              <w:t>BDS-ClockModel2</w:t>
            </w:r>
            <w:r>
              <w:t xml:space="preserve"> with the range of different parameters to be very different. Better to create a new IE to hold these parameters with new ranges</w:t>
            </w:r>
          </w:p>
        </w:tc>
      </w:tr>
      <w:tr w:rsidR="001418E0" w14:paraId="082F9C83"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0A73C37E" w14:textId="77777777" w:rsidR="001418E0" w:rsidRDefault="001418E0">
            <w:r>
              <w:t>Group delay differential parameters</w:t>
            </w:r>
          </w:p>
        </w:tc>
        <w:tc>
          <w:tcPr>
            <w:tcW w:w="4788" w:type="dxa"/>
            <w:tcBorders>
              <w:top w:val="single" w:sz="4" w:space="0" w:color="auto"/>
              <w:left w:val="single" w:sz="4" w:space="0" w:color="auto"/>
              <w:bottom w:val="single" w:sz="4" w:space="0" w:color="auto"/>
              <w:right w:val="single" w:sz="4" w:space="0" w:color="auto"/>
            </w:tcBorders>
            <w:hideMark/>
          </w:tcPr>
          <w:p w14:paraId="0A21E92F" w14:textId="5D6D0285" w:rsidR="001418E0" w:rsidRDefault="001418E0">
            <w:r>
              <w:t>T</w:t>
            </w:r>
            <w:r w:rsidR="008D1DB0">
              <w:t>_</w:t>
            </w:r>
            <w:r>
              <w:t>GDB2bI</w:t>
            </w:r>
          </w:p>
          <w:p w14:paraId="161F813B" w14:textId="2E07F384" w:rsidR="00320DA9" w:rsidRDefault="00320DA9">
            <w:r w:rsidRPr="00320DA9">
              <w:rPr>
                <w:noProof/>
              </w:rPr>
              <w:drawing>
                <wp:inline distT="0" distB="0" distL="0" distR="0" wp14:anchorId="0215D6AA" wp14:editId="286E419D">
                  <wp:extent cx="2574062" cy="74373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82131" cy="746062"/>
                          </a:xfrm>
                          <a:prstGeom prst="rect">
                            <a:avLst/>
                          </a:prstGeom>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hideMark/>
          </w:tcPr>
          <w:p w14:paraId="51AD80B6" w14:textId="389DECDD" w:rsidR="001418E0" w:rsidRDefault="001418E0">
            <w:r>
              <w:t xml:space="preserve">Can be added to the </w:t>
            </w:r>
            <w:r w:rsidR="007A4F32" w:rsidRPr="007A4F32">
              <w:rPr>
                <w:i/>
                <w:iCs/>
              </w:rPr>
              <w:t>BDS-ClockModel2</w:t>
            </w:r>
            <w:r w:rsidR="007A4F32">
              <w:rPr>
                <w:i/>
                <w:iCs/>
              </w:rPr>
              <w:t xml:space="preserve"> </w:t>
            </w:r>
            <w:r>
              <w:t xml:space="preserve">clock model </w:t>
            </w:r>
          </w:p>
        </w:tc>
      </w:tr>
      <w:tr w:rsidR="001418E0" w14:paraId="38CAC5BF"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259411A0" w14:textId="77777777" w:rsidR="001418E0" w:rsidRDefault="001418E0">
            <w:r>
              <w:t>Ephemeris parameters</w:t>
            </w:r>
          </w:p>
        </w:tc>
        <w:tc>
          <w:tcPr>
            <w:tcW w:w="4788" w:type="dxa"/>
            <w:tcBorders>
              <w:top w:val="single" w:sz="4" w:space="0" w:color="auto"/>
              <w:left w:val="single" w:sz="4" w:space="0" w:color="auto"/>
              <w:bottom w:val="single" w:sz="4" w:space="0" w:color="auto"/>
              <w:right w:val="single" w:sz="4" w:space="0" w:color="auto"/>
            </w:tcBorders>
            <w:hideMark/>
          </w:tcPr>
          <w:p w14:paraId="3C74FE44" w14:textId="611EAE21" w:rsidR="001418E0" w:rsidRDefault="001418E0">
            <w:r>
              <w:rPr>
                <w:noProof/>
              </w:rPr>
              <w:drawing>
                <wp:inline distT="0" distB="0" distL="0" distR="0" wp14:anchorId="1A406A10" wp14:editId="6D50C0D4">
                  <wp:extent cx="2678116" cy="1173392"/>
                  <wp:effectExtent l="0" t="0" r="8255"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7226" cy="1181765"/>
                          </a:xfrm>
                          <a:prstGeom prst="rect">
                            <a:avLst/>
                          </a:prstGeom>
                          <a:noFill/>
                          <a:ln>
                            <a:noFill/>
                          </a:ln>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hideMark/>
          </w:tcPr>
          <w:p w14:paraId="6EBCD60F" w14:textId="77777777" w:rsidR="008D1DB0" w:rsidRDefault="001418E0">
            <w:pPr>
              <w:rPr>
                <w:iCs/>
              </w:rPr>
            </w:pPr>
            <w:r>
              <w:t xml:space="preserve">Can reuse the existing fields in </w:t>
            </w:r>
            <w:r>
              <w:rPr>
                <w:i/>
              </w:rPr>
              <w:t>NavModel-BDS-KeplerianSet2</w:t>
            </w:r>
            <w:r>
              <w:rPr>
                <w:iCs/>
              </w:rPr>
              <w:t xml:space="preserve">. </w:t>
            </w:r>
          </w:p>
          <w:p w14:paraId="6F4B5A0E" w14:textId="13C459FC" w:rsidR="001418E0" w:rsidRDefault="001418E0">
            <w:pPr>
              <w:rPr>
                <w:iCs/>
              </w:rPr>
            </w:pPr>
            <w:r w:rsidRPr="008D1DB0">
              <w:rPr>
                <w:iCs/>
                <w:color w:val="FF0000"/>
              </w:rPr>
              <w:t>But description needs to be updated</w:t>
            </w:r>
            <w:r w:rsidR="00624C3B" w:rsidRPr="008D1DB0">
              <w:rPr>
                <w:iCs/>
                <w:color w:val="FF0000"/>
              </w:rPr>
              <w:t xml:space="preserve"> that when the signal type is BDS B2b, the field </w:t>
            </w:r>
            <w:proofErr w:type="spellStart"/>
            <w:r w:rsidR="00624C3B" w:rsidRPr="008D1DB0">
              <w:rPr>
                <w:i/>
                <w:color w:val="FF0000"/>
              </w:rPr>
              <w:t>bdsIODE</w:t>
            </w:r>
            <w:proofErr w:type="spellEnd"/>
            <w:r w:rsidR="00624C3B" w:rsidRPr="008D1DB0">
              <w:rPr>
                <w:iCs/>
                <w:color w:val="FF0000"/>
              </w:rPr>
              <w:t xml:space="preserve"> is ignored</w:t>
            </w:r>
          </w:p>
        </w:tc>
      </w:tr>
      <w:tr w:rsidR="001418E0" w14:paraId="6DC200CD"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5610F133" w14:textId="77777777" w:rsidR="001418E0" w:rsidRDefault="001418E0">
            <w:r>
              <w:t>Ionospheric Delay Correction Model Parameters</w:t>
            </w:r>
          </w:p>
        </w:tc>
        <w:tc>
          <w:tcPr>
            <w:tcW w:w="4788" w:type="dxa"/>
            <w:tcBorders>
              <w:top w:val="single" w:sz="4" w:space="0" w:color="auto"/>
              <w:left w:val="single" w:sz="4" w:space="0" w:color="auto"/>
              <w:bottom w:val="single" w:sz="4" w:space="0" w:color="auto"/>
              <w:right w:val="single" w:sz="4" w:space="0" w:color="auto"/>
            </w:tcBorders>
            <w:hideMark/>
          </w:tcPr>
          <w:p w14:paraId="63020FEF" w14:textId="77777777" w:rsidR="001418E0" w:rsidRDefault="001418E0">
            <w:r>
              <w:t xml:space="preserve">The </w:t>
            </w:r>
            <w:proofErr w:type="spellStart"/>
            <w:r>
              <w:t>BeiDou</w:t>
            </w:r>
            <w:proofErr w:type="spellEnd"/>
            <w:r>
              <w:t xml:space="preserve"> Global Ionospheric delay correction Model (BDGIM) contains nine parameters which are used to correct the effect of ionospheric delay for the single frequency user</w:t>
            </w:r>
          </w:p>
          <w:p w14:paraId="612A3EEE" w14:textId="2CF7CE06" w:rsidR="001418E0" w:rsidRDefault="001418E0">
            <w:r>
              <w:rPr>
                <w:noProof/>
              </w:rPr>
              <w:drawing>
                <wp:inline distT="0" distB="0" distL="0" distR="0" wp14:anchorId="3431ABEC" wp14:editId="45F86C60">
                  <wp:extent cx="2558205" cy="60009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8297" cy="602464"/>
                          </a:xfrm>
                          <a:prstGeom prst="rect">
                            <a:avLst/>
                          </a:prstGeom>
                          <a:noFill/>
                          <a:ln>
                            <a:noFill/>
                          </a:ln>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hideMark/>
          </w:tcPr>
          <w:p w14:paraId="2CBD1B03" w14:textId="35CE3D24" w:rsidR="001418E0" w:rsidRDefault="001418E0">
            <w:r>
              <w:t xml:space="preserve">Can reuse </w:t>
            </w:r>
            <w:r>
              <w:rPr>
                <w:i/>
                <w:iCs/>
              </w:rPr>
              <w:t>klobucharModel2</w:t>
            </w:r>
            <w:r w:rsidR="009924B4">
              <w:rPr>
                <w:i/>
                <w:iCs/>
              </w:rPr>
              <w:t>Parameter</w:t>
            </w:r>
            <w:r>
              <w:t xml:space="preserve"> in the current LPP</w:t>
            </w:r>
          </w:p>
        </w:tc>
      </w:tr>
      <w:tr w:rsidR="001418E0" w14:paraId="0FBBFC36"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46A5B9F3" w14:textId="77777777" w:rsidR="001418E0" w:rsidRDefault="001418E0">
            <w:r>
              <w:t>Midi Almanac Parameters</w:t>
            </w:r>
          </w:p>
        </w:tc>
        <w:tc>
          <w:tcPr>
            <w:tcW w:w="4788" w:type="dxa"/>
            <w:tcBorders>
              <w:top w:val="single" w:sz="4" w:space="0" w:color="auto"/>
              <w:left w:val="single" w:sz="4" w:space="0" w:color="auto"/>
              <w:bottom w:val="single" w:sz="4" w:space="0" w:color="auto"/>
              <w:right w:val="single" w:sz="4" w:space="0" w:color="auto"/>
            </w:tcBorders>
            <w:hideMark/>
          </w:tcPr>
          <w:p w14:paraId="5EDB7452" w14:textId="77777777" w:rsidR="001418E0" w:rsidRDefault="001418E0">
            <w:r>
              <w:t>Contains 14 parameters</w:t>
            </w:r>
          </w:p>
          <w:p w14:paraId="240A4DD9" w14:textId="201B63C6" w:rsidR="001418E0" w:rsidRDefault="001418E0">
            <w:r>
              <w:rPr>
                <w:noProof/>
              </w:rPr>
              <w:drawing>
                <wp:inline distT="0" distB="0" distL="0" distR="0" wp14:anchorId="709D5AD7" wp14:editId="5505E807">
                  <wp:extent cx="2663916" cy="505260"/>
                  <wp:effectExtent l="0" t="0" r="317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588" cy="508233"/>
                          </a:xfrm>
                          <a:prstGeom prst="rect">
                            <a:avLst/>
                          </a:prstGeom>
                          <a:noFill/>
                          <a:ln>
                            <a:noFill/>
                          </a:ln>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hideMark/>
          </w:tcPr>
          <w:p w14:paraId="05769601" w14:textId="59335B4E" w:rsidR="001418E0" w:rsidRDefault="001418E0">
            <w:pPr>
              <w:rPr>
                <w:iCs/>
                <w:snapToGrid w:val="0"/>
              </w:rPr>
            </w:pPr>
            <w:r>
              <w:t xml:space="preserve">Can reuse the existing field </w:t>
            </w:r>
            <w:proofErr w:type="spellStart"/>
            <w:r>
              <w:rPr>
                <w:i/>
                <w:snapToGrid w:val="0"/>
              </w:rPr>
              <w:t>Almanac</w:t>
            </w:r>
            <w:r w:rsidR="001467BA">
              <w:rPr>
                <w:i/>
                <w:snapToGrid w:val="0"/>
              </w:rPr>
              <w:t>Midi</w:t>
            </w:r>
            <w:r>
              <w:rPr>
                <w:i/>
                <w:snapToGrid w:val="0"/>
              </w:rPr>
              <w:t>AlmanacSet</w:t>
            </w:r>
            <w:proofErr w:type="spellEnd"/>
            <w:r>
              <w:rPr>
                <w:iCs/>
                <w:snapToGrid w:val="0"/>
              </w:rPr>
              <w:t xml:space="preserve"> but description needs to be updated</w:t>
            </w:r>
            <w:r w:rsidR="00280FE4">
              <w:rPr>
                <w:iCs/>
                <w:snapToGrid w:val="0"/>
              </w:rPr>
              <w:t>.</w:t>
            </w:r>
          </w:p>
          <w:p w14:paraId="3A59526D" w14:textId="1F6BAF7C" w:rsidR="00AF791D" w:rsidRPr="00AF791D" w:rsidRDefault="00AF791D">
            <w:pPr>
              <w:rPr>
                <w:iCs/>
              </w:rPr>
            </w:pPr>
            <w:r>
              <w:rPr>
                <w:rFonts w:hint="eastAsia"/>
                <w:iCs/>
                <w:snapToGrid w:val="0"/>
                <w:color w:val="FF0000"/>
              </w:rPr>
              <w:t>S</w:t>
            </w:r>
            <w:r>
              <w:rPr>
                <w:iCs/>
                <w:snapToGrid w:val="0"/>
                <w:color w:val="FF0000"/>
              </w:rPr>
              <w:t xml:space="preserve">ame discussion on the </w:t>
            </w:r>
            <w:proofErr w:type="gramStart"/>
            <w:r>
              <w:rPr>
                <w:iCs/>
                <w:snapToGrid w:val="0"/>
                <w:color w:val="FF0000"/>
              </w:rPr>
              <w:t>Health</w:t>
            </w:r>
            <w:proofErr w:type="gramEnd"/>
            <w:r>
              <w:rPr>
                <w:iCs/>
                <w:snapToGrid w:val="0"/>
                <w:color w:val="FF0000"/>
              </w:rPr>
              <w:t xml:space="preserve"> field</w:t>
            </w:r>
            <w:r w:rsidR="003620E2">
              <w:rPr>
                <w:iCs/>
                <w:snapToGrid w:val="0"/>
                <w:color w:val="FF0000"/>
              </w:rPr>
              <w:t>. This is aligned with the agreement in the last R2 meeting</w:t>
            </w:r>
          </w:p>
        </w:tc>
      </w:tr>
      <w:tr w:rsidR="001418E0" w14:paraId="279C119F"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39C76A93" w14:textId="77777777" w:rsidR="001418E0" w:rsidRDefault="001418E0">
            <w:r>
              <w:t>Reduced Almanac parameters</w:t>
            </w:r>
          </w:p>
        </w:tc>
        <w:tc>
          <w:tcPr>
            <w:tcW w:w="4788" w:type="dxa"/>
            <w:tcBorders>
              <w:top w:val="single" w:sz="4" w:space="0" w:color="auto"/>
              <w:left w:val="single" w:sz="4" w:space="0" w:color="auto"/>
              <w:bottom w:val="single" w:sz="4" w:space="0" w:color="auto"/>
              <w:right w:val="single" w:sz="4" w:space="0" w:color="auto"/>
            </w:tcBorders>
            <w:hideMark/>
          </w:tcPr>
          <w:p w14:paraId="325063C4" w14:textId="1DCF50A7" w:rsidR="001418E0" w:rsidRDefault="001418E0">
            <w:r>
              <w:rPr>
                <w:noProof/>
              </w:rPr>
              <w:drawing>
                <wp:inline distT="0" distB="0" distL="0" distR="0" wp14:anchorId="5FB2EFB3" wp14:editId="5B71E2C4">
                  <wp:extent cx="2557780" cy="6948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63535" cy="696433"/>
                          </a:xfrm>
                          <a:prstGeom prst="rect">
                            <a:avLst/>
                          </a:prstGeom>
                          <a:noFill/>
                          <a:ln>
                            <a:noFill/>
                          </a:ln>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tcPr>
          <w:p w14:paraId="5110324A" w14:textId="189CEC62" w:rsidR="001418E0" w:rsidRDefault="001418E0">
            <w:pPr>
              <w:rPr>
                <w:iCs/>
                <w:snapToGrid w:val="0"/>
              </w:rPr>
            </w:pPr>
            <w:r>
              <w:t xml:space="preserve">Can reuse the existing field </w:t>
            </w:r>
            <w:bookmarkStart w:id="3" w:name="OLE_LINK38"/>
            <w:bookmarkStart w:id="4" w:name="OLE_LINK37"/>
            <w:proofErr w:type="spellStart"/>
            <w:r>
              <w:rPr>
                <w:i/>
                <w:snapToGrid w:val="0"/>
              </w:rPr>
              <w:t>AlmanacReducedKeplerianSet</w:t>
            </w:r>
            <w:bookmarkEnd w:id="3"/>
            <w:bookmarkEnd w:id="4"/>
            <w:proofErr w:type="spellEnd"/>
            <w:r>
              <w:rPr>
                <w:iCs/>
                <w:snapToGrid w:val="0"/>
              </w:rPr>
              <w:t xml:space="preserve"> </w:t>
            </w:r>
          </w:p>
          <w:p w14:paraId="7FACE7D4" w14:textId="60AAD81A" w:rsidR="001418E0" w:rsidRDefault="003F119D">
            <w:pPr>
              <w:rPr>
                <w:iCs/>
                <w:color w:val="FF0000"/>
              </w:rPr>
            </w:pPr>
            <w:r>
              <w:rPr>
                <w:rFonts w:hint="eastAsia"/>
                <w:iCs/>
                <w:color w:val="FF0000"/>
              </w:rPr>
              <w:t>F</w:t>
            </w:r>
            <w:r>
              <w:rPr>
                <w:iCs/>
                <w:color w:val="FF0000"/>
              </w:rPr>
              <w:t xml:space="preserve">or the indication of the SV health, previous BDS system reuse the bits for the GPS system redAlmL1/L2/L5health. However, with the introduction of BDS B2b, the number of bits </w:t>
            </w:r>
            <w:r w:rsidR="008D1DB0">
              <w:rPr>
                <w:iCs/>
                <w:color w:val="FF0000"/>
              </w:rPr>
              <w:t>is</w:t>
            </w:r>
            <w:r>
              <w:rPr>
                <w:iCs/>
                <w:color w:val="FF0000"/>
              </w:rPr>
              <w:t xml:space="preserve"> not enough anymore. </w:t>
            </w:r>
            <w:r w:rsidR="00C820D4">
              <w:rPr>
                <w:iCs/>
                <w:color w:val="FF0000"/>
              </w:rPr>
              <w:t>We need to add a new bit corresponding to the 5</w:t>
            </w:r>
            <w:r w:rsidR="00C820D4" w:rsidRPr="00C820D4">
              <w:rPr>
                <w:iCs/>
                <w:color w:val="FF0000"/>
                <w:vertAlign w:val="superscript"/>
              </w:rPr>
              <w:t>th</w:t>
            </w:r>
            <w:r w:rsidR="00C820D4">
              <w:rPr>
                <w:iCs/>
                <w:color w:val="FF0000"/>
              </w:rPr>
              <w:t xml:space="preserve"> bit in the </w:t>
            </w:r>
            <w:proofErr w:type="gramStart"/>
            <w:r w:rsidR="00C820D4">
              <w:rPr>
                <w:iCs/>
                <w:color w:val="FF0000"/>
              </w:rPr>
              <w:t>Health</w:t>
            </w:r>
            <w:proofErr w:type="gramEnd"/>
            <w:r w:rsidR="00C820D4">
              <w:rPr>
                <w:iCs/>
                <w:color w:val="FF0000"/>
              </w:rPr>
              <w:t xml:space="preserve"> field</w:t>
            </w:r>
            <w:r w:rsidR="003620E2">
              <w:rPr>
                <w:iCs/>
                <w:color w:val="FF0000"/>
              </w:rPr>
              <w:t xml:space="preserve">. </w:t>
            </w:r>
            <w:r w:rsidR="003620E2">
              <w:rPr>
                <w:iCs/>
                <w:snapToGrid w:val="0"/>
                <w:color w:val="FF0000"/>
              </w:rPr>
              <w:t>This is aligned with the agreement in the last R2 meeting</w:t>
            </w:r>
          </w:p>
          <w:p w14:paraId="110929FA" w14:textId="15A795FC" w:rsidR="00C820D4" w:rsidRDefault="00C820D4">
            <w:pPr>
              <w:rPr>
                <w:iCs/>
                <w:color w:val="FF0000"/>
              </w:rPr>
            </w:pPr>
            <w:r w:rsidRPr="00C820D4">
              <w:rPr>
                <w:iCs/>
                <w:noProof/>
                <w:color w:val="FF0000"/>
              </w:rPr>
              <w:lastRenderedPageBreak/>
              <w:drawing>
                <wp:inline distT="0" distB="0" distL="0" distR="0" wp14:anchorId="5931AECD" wp14:editId="620BC889">
                  <wp:extent cx="2202815" cy="1206500"/>
                  <wp:effectExtent l="0" t="0" r="69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02815" cy="1206500"/>
                          </a:xfrm>
                          <a:prstGeom prst="rect">
                            <a:avLst/>
                          </a:prstGeom>
                        </pic:spPr>
                      </pic:pic>
                    </a:graphicData>
                  </a:graphic>
                </wp:inline>
              </w:drawing>
            </w:r>
          </w:p>
        </w:tc>
      </w:tr>
      <w:tr w:rsidR="001418E0" w14:paraId="3DDE742F"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295CC446" w14:textId="77777777" w:rsidR="001418E0" w:rsidRDefault="001418E0">
            <w:r>
              <w:lastRenderedPageBreak/>
              <w:t>Earth Orientation Parameters</w:t>
            </w:r>
          </w:p>
        </w:tc>
        <w:tc>
          <w:tcPr>
            <w:tcW w:w="4788" w:type="dxa"/>
            <w:tcBorders>
              <w:top w:val="single" w:sz="4" w:space="0" w:color="auto"/>
              <w:left w:val="single" w:sz="4" w:space="0" w:color="auto"/>
              <w:bottom w:val="single" w:sz="4" w:space="0" w:color="auto"/>
              <w:right w:val="single" w:sz="4" w:space="0" w:color="auto"/>
            </w:tcBorders>
            <w:hideMark/>
          </w:tcPr>
          <w:p w14:paraId="66E27E27" w14:textId="4C8A5DD1" w:rsidR="001418E0" w:rsidRDefault="001418E0">
            <w:r>
              <w:rPr>
                <w:noProof/>
              </w:rPr>
              <w:drawing>
                <wp:inline distT="0" distB="0" distL="0" distR="0" wp14:anchorId="700C7FE6" wp14:editId="5655C4B4">
                  <wp:extent cx="2711486" cy="80039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18538" cy="802474"/>
                          </a:xfrm>
                          <a:prstGeom prst="rect">
                            <a:avLst/>
                          </a:prstGeom>
                          <a:noFill/>
                          <a:ln>
                            <a:noFill/>
                          </a:ln>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hideMark/>
          </w:tcPr>
          <w:p w14:paraId="1A0E9E5F" w14:textId="77777777" w:rsidR="001418E0" w:rsidRDefault="001418E0">
            <w:r>
              <w:t xml:space="preserve">Can reuse the IE </w:t>
            </w:r>
            <w:r>
              <w:rPr>
                <w:i/>
                <w:iCs/>
                <w:snapToGrid w:val="0"/>
              </w:rPr>
              <w:t>GNSS-</w:t>
            </w:r>
            <w:proofErr w:type="spellStart"/>
            <w:r>
              <w:rPr>
                <w:i/>
                <w:iCs/>
                <w:snapToGrid w:val="0"/>
              </w:rPr>
              <w:t>EarthOrientationParameters</w:t>
            </w:r>
            <w:proofErr w:type="spellEnd"/>
          </w:p>
        </w:tc>
      </w:tr>
      <w:tr w:rsidR="001418E0" w14:paraId="7CC456F3"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1A1C0877" w14:textId="77777777" w:rsidR="001418E0" w:rsidRDefault="001418E0">
            <w:r>
              <w:t>BDT-UTC Time Offset Parameters</w:t>
            </w:r>
          </w:p>
        </w:tc>
        <w:tc>
          <w:tcPr>
            <w:tcW w:w="4788" w:type="dxa"/>
            <w:tcBorders>
              <w:top w:val="single" w:sz="4" w:space="0" w:color="auto"/>
              <w:left w:val="single" w:sz="4" w:space="0" w:color="auto"/>
              <w:bottom w:val="single" w:sz="4" w:space="0" w:color="auto"/>
              <w:right w:val="single" w:sz="4" w:space="0" w:color="auto"/>
            </w:tcBorders>
            <w:hideMark/>
          </w:tcPr>
          <w:p w14:paraId="407D8B75" w14:textId="1AB7CDF0" w:rsidR="001418E0" w:rsidRDefault="001418E0">
            <w:r>
              <w:rPr>
                <w:noProof/>
              </w:rPr>
              <w:drawing>
                <wp:inline distT="0" distB="0" distL="0" distR="0" wp14:anchorId="2A937FC9" wp14:editId="488F7575">
                  <wp:extent cx="2549116" cy="591981"/>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2219" cy="595024"/>
                          </a:xfrm>
                          <a:prstGeom prst="rect">
                            <a:avLst/>
                          </a:prstGeom>
                          <a:noFill/>
                          <a:ln>
                            <a:noFill/>
                          </a:ln>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hideMark/>
          </w:tcPr>
          <w:p w14:paraId="7FC6C7D6" w14:textId="1F2EA2CD" w:rsidR="001418E0" w:rsidRDefault="001418E0">
            <w:r>
              <w:t xml:space="preserve">Can reuse the IE </w:t>
            </w:r>
            <w:r>
              <w:rPr>
                <w:i/>
                <w:iCs/>
              </w:rPr>
              <w:t>UTC-ModelSet2</w:t>
            </w:r>
            <w:r w:rsidR="00C820D4">
              <w:t xml:space="preserve"> b</w:t>
            </w:r>
            <w:r w:rsidR="00C468EE">
              <w:t xml:space="preserve">ut the DN field is no longer 4 bits long. </w:t>
            </w:r>
          </w:p>
          <w:p w14:paraId="2B5BD342" w14:textId="3CA1B166" w:rsidR="00C468EE" w:rsidRPr="00C820D4" w:rsidRDefault="00C468EE">
            <w:r w:rsidRPr="00D423CF">
              <w:rPr>
                <w:rFonts w:hint="eastAsia"/>
                <w:color w:val="FF0000"/>
              </w:rPr>
              <w:t>C</w:t>
            </w:r>
            <w:r w:rsidRPr="00D423CF">
              <w:rPr>
                <w:color w:val="FF0000"/>
              </w:rPr>
              <w:t>larify in the field description that on the 3 bits from LSB are used.</w:t>
            </w:r>
            <w:r w:rsidR="00E6554E" w:rsidRPr="00D423CF">
              <w:rPr>
                <w:color w:val="FF0000"/>
              </w:rPr>
              <w:t xml:space="preserve"> Legacy BDS may also ha</w:t>
            </w:r>
            <w:r w:rsidR="00951441" w:rsidRPr="00D423CF">
              <w:rPr>
                <w:color w:val="FF0000"/>
              </w:rPr>
              <w:t>ve</w:t>
            </w:r>
            <w:r w:rsidR="00E6554E" w:rsidRPr="00D423CF">
              <w:rPr>
                <w:color w:val="FF0000"/>
              </w:rPr>
              <w:t xml:space="preserve"> the same issue.</w:t>
            </w:r>
          </w:p>
        </w:tc>
      </w:tr>
      <w:tr w:rsidR="001418E0" w14:paraId="3FE57AF4"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1348AF87" w14:textId="77777777" w:rsidR="001418E0" w:rsidRDefault="001418E0">
            <w:r>
              <w:t>BDT-GNSS Time Offset Parameters</w:t>
            </w:r>
          </w:p>
        </w:tc>
        <w:tc>
          <w:tcPr>
            <w:tcW w:w="4788" w:type="dxa"/>
            <w:tcBorders>
              <w:top w:val="single" w:sz="4" w:space="0" w:color="auto"/>
              <w:left w:val="single" w:sz="4" w:space="0" w:color="auto"/>
              <w:bottom w:val="single" w:sz="4" w:space="0" w:color="auto"/>
              <w:right w:val="single" w:sz="4" w:space="0" w:color="auto"/>
            </w:tcBorders>
            <w:hideMark/>
          </w:tcPr>
          <w:p w14:paraId="66827C46" w14:textId="28D315C2" w:rsidR="001418E0" w:rsidRDefault="001418E0">
            <w:r>
              <w:rPr>
                <w:noProof/>
              </w:rPr>
              <w:drawing>
                <wp:inline distT="0" distB="0" distL="0" distR="0" wp14:anchorId="779A04C7" wp14:editId="64761D53">
                  <wp:extent cx="2542349" cy="758467"/>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49297" cy="760540"/>
                          </a:xfrm>
                          <a:prstGeom prst="rect">
                            <a:avLst/>
                          </a:prstGeom>
                          <a:noFill/>
                          <a:ln>
                            <a:noFill/>
                          </a:ln>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hideMark/>
          </w:tcPr>
          <w:p w14:paraId="36E6660B" w14:textId="77777777" w:rsidR="001418E0" w:rsidRDefault="001418E0">
            <w:r>
              <w:t xml:space="preserve">Can reuse the IE </w:t>
            </w:r>
            <w:r>
              <w:rPr>
                <w:i/>
                <w:iCs/>
              </w:rPr>
              <w:t>GNSS-</w:t>
            </w:r>
            <w:proofErr w:type="spellStart"/>
            <w:r>
              <w:rPr>
                <w:i/>
                <w:iCs/>
              </w:rPr>
              <w:t>TimeModelElement</w:t>
            </w:r>
            <w:proofErr w:type="spellEnd"/>
          </w:p>
        </w:tc>
      </w:tr>
      <w:tr w:rsidR="001418E0" w14:paraId="563A336C"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61AABD01" w14:textId="77777777" w:rsidR="001418E0" w:rsidRDefault="001418E0">
            <w:r>
              <w:t>Satellite Health Status</w:t>
            </w:r>
          </w:p>
        </w:tc>
        <w:tc>
          <w:tcPr>
            <w:tcW w:w="4788" w:type="dxa"/>
            <w:tcBorders>
              <w:top w:val="single" w:sz="4" w:space="0" w:color="auto"/>
              <w:left w:val="single" w:sz="4" w:space="0" w:color="auto"/>
              <w:bottom w:val="single" w:sz="4" w:space="0" w:color="auto"/>
              <w:right w:val="single" w:sz="4" w:space="0" w:color="auto"/>
            </w:tcBorders>
            <w:hideMark/>
          </w:tcPr>
          <w:p w14:paraId="6E21AB73" w14:textId="77777777" w:rsidR="001418E0" w:rsidRDefault="001418E0">
            <w:r>
              <w:t xml:space="preserve">Satellite Health Status (HS) is an unsigned integer with a length of 2 bits, which indicates the health status of the transmitting satellite. </w:t>
            </w:r>
          </w:p>
        </w:tc>
        <w:tc>
          <w:tcPr>
            <w:tcW w:w="3685" w:type="dxa"/>
            <w:tcBorders>
              <w:top w:val="single" w:sz="4" w:space="0" w:color="auto"/>
              <w:left w:val="single" w:sz="4" w:space="0" w:color="auto"/>
              <w:bottom w:val="single" w:sz="4" w:space="0" w:color="auto"/>
              <w:right w:val="single" w:sz="4" w:space="0" w:color="auto"/>
            </w:tcBorders>
            <w:hideMark/>
          </w:tcPr>
          <w:p w14:paraId="1CBB3DAF" w14:textId="38D1869F" w:rsidR="001418E0" w:rsidRPr="00D423CF" w:rsidRDefault="001418E0">
            <w:r w:rsidRPr="00A82DE4">
              <w:rPr>
                <w:color w:val="FF0000"/>
              </w:rPr>
              <w:t xml:space="preserve">Can reuse the existing IE </w:t>
            </w:r>
            <w:r w:rsidRPr="00A82DE4">
              <w:rPr>
                <w:i/>
                <w:iCs/>
                <w:noProof/>
                <w:color w:val="FF0000"/>
              </w:rPr>
              <w:t>svHealth</w:t>
            </w:r>
            <w:r w:rsidR="00D423CF" w:rsidRPr="00A82DE4">
              <w:rPr>
                <w:noProof/>
                <w:color w:val="FF0000"/>
              </w:rPr>
              <w:t>. But clarify that bit 1 and bit 2 are used for B2b signal</w:t>
            </w:r>
          </w:p>
        </w:tc>
      </w:tr>
      <w:tr w:rsidR="001418E0" w14:paraId="7FC05E5C"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11D38FB4" w14:textId="77777777" w:rsidR="001418E0" w:rsidRDefault="001418E0">
            <w:r>
              <w:t>Satellite Integrity Status Flag</w:t>
            </w:r>
          </w:p>
        </w:tc>
        <w:tc>
          <w:tcPr>
            <w:tcW w:w="4788" w:type="dxa"/>
            <w:tcBorders>
              <w:top w:val="single" w:sz="4" w:space="0" w:color="auto"/>
              <w:left w:val="single" w:sz="4" w:space="0" w:color="auto"/>
              <w:bottom w:val="single" w:sz="4" w:space="0" w:color="auto"/>
              <w:right w:val="single" w:sz="4" w:space="0" w:color="auto"/>
            </w:tcBorders>
            <w:hideMark/>
          </w:tcPr>
          <w:p w14:paraId="7C3C9B38" w14:textId="77777777" w:rsidR="001418E0" w:rsidRDefault="001418E0">
            <w:r>
              <w:t>The specific definitions of the signal integrity status flag parameters will be published in a future update of this ICD.</w:t>
            </w:r>
          </w:p>
          <w:p w14:paraId="3C1BA157" w14:textId="44571220" w:rsidR="001418E0" w:rsidRDefault="001418E0">
            <w:r>
              <w:rPr>
                <w:noProof/>
              </w:rPr>
              <w:drawing>
                <wp:inline distT="0" distB="0" distL="0" distR="0" wp14:anchorId="6AB6406C" wp14:editId="369D1C65">
                  <wp:extent cx="1426845" cy="65024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6845" cy="650240"/>
                          </a:xfrm>
                          <a:prstGeom prst="rect">
                            <a:avLst/>
                          </a:prstGeom>
                          <a:noFill/>
                          <a:ln>
                            <a:noFill/>
                          </a:ln>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hideMark/>
          </w:tcPr>
          <w:p w14:paraId="0B0952F6" w14:textId="77777777" w:rsidR="001418E0" w:rsidRPr="00F6295C" w:rsidRDefault="001418E0">
            <w:pPr>
              <w:rPr>
                <w:color w:val="FF0000"/>
              </w:rPr>
            </w:pPr>
            <w:r w:rsidRPr="00F6295C">
              <w:rPr>
                <w:color w:val="FF0000"/>
              </w:rPr>
              <w:t>Since the definition has not been specified by the document, we can come back to this later when the definition is updated</w:t>
            </w:r>
          </w:p>
        </w:tc>
      </w:tr>
      <w:tr w:rsidR="001418E0" w14:paraId="2071EAB4"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11F0FC11" w14:textId="77777777" w:rsidR="001418E0" w:rsidRDefault="001418E0">
            <w:r>
              <w:t>Signal In Space Accuracy Index</w:t>
            </w:r>
          </w:p>
        </w:tc>
        <w:tc>
          <w:tcPr>
            <w:tcW w:w="4788" w:type="dxa"/>
            <w:tcBorders>
              <w:top w:val="single" w:sz="4" w:space="0" w:color="auto"/>
              <w:left w:val="single" w:sz="4" w:space="0" w:color="auto"/>
              <w:bottom w:val="single" w:sz="4" w:space="0" w:color="auto"/>
              <w:right w:val="single" w:sz="4" w:space="0" w:color="auto"/>
            </w:tcBorders>
          </w:tcPr>
          <w:p w14:paraId="6502C967" w14:textId="16E0F3FF" w:rsidR="001418E0" w:rsidRDefault="001418E0">
            <w:r>
              <w:rPr>
                <w:noProof/>
              </w:rPr>
              <w:drawing>
                <wp:inline distT="0" distB="0" distL="0" distR="0" wp14:anchorId="6CD2726E" wp14:editId="0E97EA5D">
                  <wp:extent cx="1411794" cy="550546"/>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31007" cy="558038"/>
                          </a:xfrm>
                          <a:prstGeom prst="rect">
                            <a:avLst/>
                          </a:prstGeom>
                          <a:noFill/>
                          <a:ln>
                            <a:noFill/>
                          </a:ln>
                        </pic:spPr>
                      </pic:pic>
                    </a:graphicData>
                  </a:graphic>
                </wp:inline>
              </w:drawing>
            </w:r>
          </w:p>
          <w:p w14:paraId="36F55B38" w14:textId="3CD97A14" w:rsidR="001418E0" w:rsidRDefault="001418E0">
            <w:r>
              <w:rPr>
                <w:noProof/>
              </w:rPr>
              <w:drawing>
                <wp:inline distT="0" distB="0" distL="0" distR="0" wp14:anchorId="607CE82F" wp14:editId="152BD8A5">
                  <wp:extent cx="703385" cy="541299"/>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09669" cy="546135"/>
                          </a:xfrm>
                          <a:prstGeom prst="rect">
                            <a:avLst/>
                          </a:prstGeom>
                          <a:noFill/>
                          <a:ln>
                            <a:noFill/>
                          </a:ln>
                        </pic:spPr>
                      </pic:pic>
                    </a:graphicData>
                  </a:graphic>
                </wp:inline>
              </w:drawing>
            </w:r>
          </w:p>
          <w:p w14:paraId="4A0947C7" w14:textId="47C10017" w:rsidR="001418E0" w:rsidRDefault="001418E0">
            <w:r>
              <w:t>The signal in space accuracy describes the predictive accuracy of the orbital parameters and clock correction parameters broadcast in the navigation message. It contains the along track and cross-track accuracy of the satellite orbit (</w:t>
            </w:r>
            <w:proofErr w:type="spellStart"/>
            <w:r>
              <w:t>SISAoe</w:t>
            </w:r>
            <w:proofErr w:type="spellEnd"/>
            <w:r>
              <w:t>) and the satellite orbit radial and satellite clock correction accuracy (</w:t>
            </w:r>
            <w:proofErr w:type="spellStart"/>
            <w:r>
              <w:t>SISAoc</w:t>
            </w:r>
            <w:proofErr w:type="spellEnd"/>
            <w:r>
              <w:t>).</w:t>
            </w:r>
          </w:p>
          <w:p w14:paraId="6113861E" w14:textId="77777777" w:rsidR="001418E0" w:rsidRDefault="001418E0">
            <w:r>
              <w:rPr>
                <w:highlight w:val="yellow"/>
              </w:rPr>
              <w:t>The specific definitions of the signal in space accuracy index parameters will be published in a future update of this ICD</w:t>
            </w:r>
          </w:p>
        </w:tc>
        <w:tc>
          <w:tcPr>
            <w:tcW w:w="3685" w:type="dxa"/>
            <w:tcBorders>
              <w:top w:val="single" w:sz="4" w:space="0" w:color="auto"/>
              <w:left w:val="single" w:sz="4" w:space="0" w:color="auto"/>
              <w:bottom w:val="single" w:sz="4" w:space="0" w:color="auto"/>
              <w:right w:val="single" w:sz="4" w:space="0" w:color="auto"/>
            </w:tcBorders>
            <w:hideMark/>
          </w:tcPr>
          <w:p w14:paraId="450D0B29" w14:textId="77777777" w:rsidR="001418E0" w:rsidRPr="00F6295C" w:rsidRDefault="001418E0">
            <w:pPr>
              <w:rPr>
                <w:color w:val="FF0000"/>
              </w:rPr>
            </w:pPr>
            <w:r w:rsidRPr="00F6295C">
              <w:rPr>
                <w:color w:val="FF0000"/>
              </w:rPr>
              <w:t>Since the definition has not been specified by the document, we can come back to this later when the definition is updated</w:t>
            </w:r>
          </w:p>
        </w:tc>
      </w:tr>
      <w:tr w:rsidR="001418E0" w14:paraId="7932E85F" w14:textId="77777777" w:rsidTr="001418E0">
        <w:tc>
          <w:tcPr>
            <w:tcW w:w="1161" w:type="dxa"/>
            <w:tcBorders>
              <w:top w:val="single" w:sz="4" w:space="0" w:color="auto"/>
              <w:left w:val="single" w:sz="4" w:space="0" w:color="auto"/>
              <w:bottom w:val="single" w:sz="4" w:space="0" w:color="auto"/>
              <w:right w:val="single" w:sz="4" w:space="0" w:color="auto"/>
            </w:tcBorders>
            <w:hideMark/>
          </w:tcPr>
          <w:p w14:paraId="4D45C7D1" w14:textId="77777777" w:rsidR="001418E0" w:rsidRDefault="001418E0">
            <w:r>
              <w:lastRenderedPageBreak/>
              <w:t>Signal In Space Monitoring Accuracy Index</w:t>
            </w:r>
          </w:p>
        </w:tc>
        <w:tc>
          <w:tcPr>
            <w:tcW w:w="4788" w:type="dxa"/>
            <w:tcBorders>
              <w:top w:val="single" w:sz="4" w:space="0" w:color="auto"/>
              <w:left w:val="single" w:sz="4" w:space="0" w:color="auto"/>
              <w:bottom w:val="single" w:sz="4" w:space="0" w:color="auto"/>
              <w:right w:val="single" w:sz="4" w:space="0" w:color="auto"/>
            </w:tcBorders>
            <w:hideMark/>
          </w:tcPr>
          <w:p w14:paraId="090F8142" w14:textId="47117DA0" w:rsidR="001418E0" w:rsidRDefault="001418E0">
            <w:r>
              <w:rPr>
                <w:noProof/>
              </w:rPr>
              <w:drawing>
                <wp:inline distT="0" distB="0" distL="0" distR="0" wp14:anchorId="32E44797" wp14:editId="5FC1A08F">
                  <wp:extent cx="527539" cy="505071"/>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1271" cy="508644"/>
                          </a:xfrm>
                          <a:prstGeom prst="rect">
                            <a:avLst/>
                          </a:prstGeom>
                          <a:noFill/>
                          <a:ln>
                            <a:noFill/>
                          </a:ln>
                        </pic:spPr>
                      </pic:pic>
                    </a:graphicData>
                  </a:graphic>
                </wp:inline>
              </w:drawing>
            </w:r>
          </w:p>
          <w:p w14:paraId="32DE7CC5" w14:textId="77777777" w:rsidR="001418E0" w:rsidRDefault="001418E0">
            <w:r>
              <w:t xml:space="preserve">The estimated error of the signal in space accuracy is described by the zero-mean Gaussian distribution model. The signal in space monitoring accuracy (SISMA) is the variance of the Gaussian distribution, which is indicated by the signal in space monitoring accuracy index (SISMAI). </w:t>
            </w:r>
          </w:p>
          <w:p w14:paraId="1C656976" w14:textId="77777777" w:rsidR="001418E0" w:rsidRDefault="001418E0">
            <w:r>
              <w:rPr>
                <w:highlight w:val="yellow"/>
              </w:rPr>
              <w:t>The specific definitions of the signal in space monitoring accuracy index parameters will be published in a future update of this ICD</w:t>
            </w:r>
          </w:p>
        </w:tc>
        <w:tc>
          <w:tcPr>
            <w:tcW w:w="3685" w:type="dxa"/>
            <w:tcBorders>
              <w:top w:val="single" w:sz="4" w:space="0" w:color="auto"/>
              <w:left w:val="single" w:sz="4" w:space="0" w:color="auto"/>
              <w:bottom w:val="single" w:sz="4" w:space="0" w:color="auto"/>
              <w:right w:val="single" w:sz="4" w:space="0" w:color="auto"/>
            </w:tcBorders>
            <w:hideMark/>
          </w:tcPr>
          <w:p w14:paraId="798B89D0" w14:textId="77777777" w:rsidR="001418E0" w:rsidRDefault="001418E0">
            <w:r w:rsidRPr="00F6295C">
              <w:rPr>
                <w:color w:val="FF0000"/>
              </w:rPr>
              <w:t>Since the definition has not been specified by the document, we can come back to this later when the definition is updated</w:t>
            </w:r>
          </w:p>
        </w:tc>
      </w:tr>
    </w:tbl>
    <w:p w14:paraId="30BE11A9" w14:textId="0A41A573" w:rsidR="006402FB" w:rsidRDefault="006402FB" w:rsidP="006402FB"/>
    <w:p w14:paraId="1374E653" w14:textId="1925670D" w:rsidR="005A1CD8" w:rsidRDefault="005A1CD8" w:rsidP="006402FB">
      <w:r>
        <w:rPr>
          <w:rFonts w:hint="eastAsia"/>
        </w:rPr>
        <w:t>B</w:t>
      </w:r>
      <w:r>
        <w:t>ased on the discussion above, we propose the following:</w:t>
      </w:r>
    </w:p>
    <w:p w14:paraId="7CF23D01" w14:textId="05066992" w:rsidR="00AC3C33" w:rsidRDefault="00AC3C33" w:rsidP="00AC3C33">
      <w:pPr>
        <w:spacing w:after="0"/>
        <w:jc w:val="both"/>
        <w:rPr>
          <w:b/>
          <w:sz w:val="18"/>
          <w:szCs w:val="18"/>
        </w:rPr>
      </w:pPr>
      <w:r>
        <w:rPr>
          <w:b/>
          <w:i/>
          <w:sz w:val="18"/>
          <w:szCs w:val="18"/>
          <w:u w:val="single"/>
        </w:rPr>
        <w:t>Proposal1:</w:t>
      </w:r>
      <w:r>
        <w:rPr>
          <w:b/>
          <w:sz w:val="18"/>
          <w:szCs w:val="18"/>
        </w:rPr>
        <w:t xml:space="preserve"> For different parameters in the navigation message defined in clause 6 and 7 of </w:t>
      </w:r>
      <w:r w:rsidR="00AC7669">
        <w:rPr>
          <w:rFonts w:hint="eastAsia"/>
          <w:b/>
          <w:sz w:val="18"/>
          <w:szCs w:val="18"/>
        </w:rPr>
        <w:t>IC</w:t>
      </w:r>
      <w:r w:rsidR="00AC7669">
        <w:rPr>
          <w:b/>
          <w:sz w:val="18"/>
          <w:szCs w:val="18"/>
        </w:rPr>
        <w:t>D</w:t>
      </w:r>
      <w:r>
        <w:rPr>
          <w:b/>
          <w:sz w:val="18"/>
          <w:szCs w:val="18"/>
        </w:rPr>
        <w:t>, support them by the following:</w:t>
      </w:r>
    </w:p>
    <w:p w14:paraId="741B4EBD" w14:textId="77777777" w:rsidR="00AC3C33" w:rsidRDefault="00AC3C33" w:rsidP="00AC3C33">
      <w:pPr>
        <w:pStyle w:val="a"/>
        <w:numPr>
          <w:ilvl w:val="0"/>
          <w:numId w:val="5"/>
        </w:numPr>
        <w:textAlignment w:val="auto"/>
        <w:rPr>
          <w:rFonts w:cs="Times New Roman"/>
          <w:b/>
          <w:sz w:val="18"/>
          <w:szCs w:val="18"/>
        </w:rPr>
      </w:pPr>
      <w:r>
        <w:rPr>
          <w:rFonts w:cs="Times New Roman"/>
          <w:b/>
          <w:i/>
          <w:iCs/>
          <w:sz w:val="18"/>
          <w:szCs w:val="18"/>
        </w:rPr>
        <w:t>Ephemeris parameters</w:t>
      </w:r>
      <w:r>
        <w:rPr>
          <w:rFonts w:cs="Times New Roman"/>
          <w:b/>
          <w:sz w:val="18"/>
          <w:szCs w:val="18"/>
        </w:rPr>
        <w:t xml:space="preserve">: Reuse the existing IE </w:t>
      </w:r>
      <w:r>
        <w:rPr>
          <w:rFonts w:cs="Times New Roman"/>
          <w:b/>
          <w:i/>
          <w:iCs/>
          <w:sz w:val="18"/>
          <w:szCs w:val="18"/>
        </w:rPr>
        <w:t>NavModel-BDS-KeplerianSet2</w:t>
      </w:r>
      <w:r>
        <w:rPr>
          <w:rFonts w:cs="Times New Roman"/>
          <w:b/>
          <w:sz w:val="18"/>
          <w:szCs w:val="18"/>
        </w:rPr>
        <w:t xml:space="preserve"> but the field </w:t>
      </w:r>
      <w:proofErr w:type="spellStart"/>
      <w:r w:rsidRPr="00112B46">
        <w:rPr>
          <w:rFonts w:cs="Times New Roman"/>
          <w:b/>
          <w:i/>
          <w:iCs/>
          <w:sz w:val="18"/>
          <w:szCs w:val="18"/>
        </w:rPr>
        <w:t>bdsIODE</w:t>
      </w:r>
      <w:proofErr w:type="spellEnd"/>
      <w:r w:rsidRPr="00FC4F4C">
        <w:rPr>
          <w:rFonts w:cs="Times New Roman"/>
          <w:b/>
          <w:sz w:val="18"/>
          <w:szCs w:val="18"/>
        </w:rPr>
        <w:t xml:space="preserve"> is ignored</w:t>
      </w:r>
    </w:p>
    <w:p w14:paraId="56A8A0C5" w14:textId="77777777" w:rsidR="00AC3C33" w:rsidRDefault="00AC3C33" w:rsidP="00AC3C33">
      <w:pPr>
        <w:pStyle w:val="a"/>
        <w:numPr>
          <w:ilvl w:val="0"/>
          <w:numId w:val="5"/>
        </w:numPr>
        <w:textAlignment w:val="auto"/>
        <w:rPr>
          <w:rFonts w:cs="Times New Roman"/>
          <w:b/>
          <w:sz w:val="18"/>
          <w:szCs w:val="18"/>
        </w:rPr>
      </w:pPr>
      <w:r>
        <w:rPr>
          <w:rFonts w:cs="Times New Roman"/>
          <w:b/>
          <w:i/>
          <w:iCs/>
          <w:sz w:val="18"/>
          <w:szCs w:val="18"/>
        </w:rPr>
        <w:t>BDT-UTC Time Offset Parameter</w:t>
      </w:r>
      <w:r>
        <w:rPr>
          <w:rFonts w:cs="Times New Roman"/>
          <w:b/>
          <w:sz w:val="18"/>
          <w:szCs w:val="18"/>
        </w:rPr>
        <w:t xml:space="preserve">s: reuse the IE </w:t>
      </w:r>
      <w:r>
        <w:rPr>
          <w:rFonts w:cs="Times New Roman"/>
          <w:b/>
          <w:i/>
          <w:iCs/>
          <w:sz w:val="18"/>
          <w:szCs w:val="18"/>
        </w:rPr>
        <w:t>UTC-ModelSet2</w:t>
      </w:r>
      <w:r>
        <w:rPr>
          <w:rFonts w:cs="Times New Roman"/>
          <w:b/>
          <w:sz w:val="18"/>
          <w:szCs w:val="18"/>
        </w:rPr>
        <w:t xml:space="preserve">. </w:t>
      </w:r>
      <w:r w:rsidRPr="00902AE9">
        <w:rPr>
          <w:rFonts w:cs="Times New Roman"/>
          <w:b/>
          <w:sz w:val="18"/>
          <w:szCs w:val="18"/>
        </w:rPr>
        <w:t>Clarify in the field description that on the 3 bits from LSB are used. Legacy BDS may also have the same issue.</w:t>
      </w:r>
    </w:p>
    <w:p w14:paraId="1E2C8600" w14:textId="77777777" w:rsidR="00AC3C33" w:rsidRDefault="00AC3C33" w:rsidP="00AC3C33">
      <w:pPr>
        <w:pStyle w:val="a"/>
        <w:numPr>
          <w:ilvl w:val="0"/>
          <w:numId w:val="5"/>
        </w:numPr>
        <w:textAlignment w:val="auto"/>
        <w:rPr>
          <w:rFonts w:cs="Times New Roman"/>
          <w:b/>
          <w:sz w:val="18"/>
          <w:szCs w:val="18"/>
        </w:rPr>
      </w:pPr>
      <w:r>
        <w:rPr>
          <w:rFonts w:cs="Times New Roman"/>
          <w:b/>
          <w:i/>
          <w:iCs/>
          <w:sz w:val="18"/>
          <w:szCs w:val="18"/>
        </w:rPr>
        <w:t>Satellite Health Status</w:t>
      </w:r>
      <w:r>
        <w:rPr>
          <w:rFonts w:cs="Times New Roman"/>
          <w:b/>
          <w:sz w:val="18"/>
          <w:szCs w:val="18"/>
        </w:rPr>
        <w:t xml:space="preserve">: reuse the existing IE </w:t>
      </w:r>
      <w:r>
        <w:rPr>
          <w:rFonts w:cs="Times New Roman"/>
          <w:b/>
          <w:i/>
          <w:iCs/>
          <w:noProof/>
          <w:sz w:val="18"/>
          <w:szCs w:val="18"/>
        </w:rPr>
        <w:t>svHealth</w:t>
      </w:r>
      <w:r>
        <w:rPr>
          <w:rFonts w:cs="Times New Roman"/>
          <w:b/>
          <w:noProof/>
          <w:sz w:val="18"/>
          <w:szCs w:val="18"/>
        </w:rPr>
        <w:t xml:space="preserve">. </w:t>
      </w:r>
      <w:r w:rsidRPr="008E6837">
        <w:rPr>
          <w:rFonts w:cs="Times New Roman"/>
          <w:b/>
          <w:noProof/>
          <w:sz w:val="18"/>
          <w:szCs w:val="18"/>
        </w:rPr>
        <w:t>But clarify that bit 1 and bit 2 are used for B2b signal</w:t>
      </w:r>
    </w:p>
    <w:p w14:paraId="4AEF1A30" w14:textId="05825849" w:rsidR="005A1CD8" w:rsidRPr="0000492A" w:rsidRDefault="00AC3C33" w:rsidP="006402FB">
      <w:pPr>
        <w:pStyle w:val="a"/>
        <w:numPr>
          <w:ilvl w:val="0"/>
          <w:numId w:val="5"/>
        </w:numPr>
        <w:textAlignment w:val="auto"/>
        <w:rPr>
          <w:rFonts w:cs="Times New Roman"/>
          <w:b/>
          <w:sz w:val="18"/>
          <w:szCs w:val="18"/>
        </w:rPr>
      </w:pPr>
      <w:r>
        <w:rPr>
          <w:rFonts w:cs="Times New Roman"/>
          <w:b/>
          <w:noProof/>
          <w:sz w:val="18"/>
          <w:szCs w:val="18"/>
        </w:rPr>
        <w:t>No change is needed for all the parameters related to integrity in the nav message.</w:t>
      </w:r>
    </w:p>
    <w:bookmarkEnd w:id="1"/>
    <w:bookmarkEnd w:id="2"/>
    <w:p w14:paraId="1B4B23D7" w14:textId="6B78AB82" w:rsidR="00A361EF" w:rsidRDefault="00A361EF" w:rsidP="00A95360">
      <w:pPr>
        <w:pStyle w:val="1"/>
        <w:spacing w:before="100" w:beforeAutospacing="1" w:after="100" w:afterAutospacing="1"/>
        <w:ind w:left="0" w:firstLine="0"/>
        <w:jc w:val="both"/>
      </w:pPr>
      <w:r>
        <w:rPr>
          <w:rFonts w:hint="eastAsia"/>
        </w:rPr>
        <w:t>3</w:t>
      </w:r>
      <w:r>
        <w:t>. Conclusion</w:t>
      </w:r>
    </w:p>
    <w:p w14:paraId="0F58792A" w14:textId="045AC6EF" w:rsidR="00437050" w:rsidRPr="00437050" w:rsidRDefault="00437050" w:rsidP="00437050">
      <w:r>
        <w:rPr>
          <w:rFonts w:hint="eastAsia"/>
        </w:rPr>
        <w:t>I</w:t>
      </w:r>
      <w:r>
        <w:t xml:space="preserve">n this paper, we discuss the current issues within the LPP spec for the </w:t>
      </w:r>
      <w:r w:rsidR="00E239F3">
        <w:t>introduction of BDS B2b signal</w:t>
      </w:r>
      <w:r>
        <w:t>. We propose the following:</w:t>
      </w:r>
    </w:p>
    <w:p w14:paraId="4A10C81C" w14:textId="78DC9C10" w:rsidR="00F55223" w:rsidRDefault="00F55223" w:rsidP="0058650C">
      <w:pPr>
        <w:spacing w:after="0"/>
        <w:jc w:val="both"/>
        <w:rPr>
          <w:b/>
          <w:sz w:val="18"/>
          <w:szCs w:val="18"/>
        </w:rPr>
      </w:pPr>
      <w:r>
        <w:rPr>
          <w:b/>
          <w:i/>
          <w:sz w:val="18"/>
          <w:szCs w:val="18"/>
          <w:u w:val="single"/>
        </w:rPr>
        <w:t>Proposal1:</w:t>
      </w:r>
      <w:r>
        <w:rPr>
          <w:b/>
          <w:sz w:val="18"/>
          <w:szCs w:val="18"/>
        </w:rPr>
        <w:t xml:space="preserve"> For different parameters in the navigation message defined in clause 6 and 7 of </w:t>
      </w:r>
      <w:r w:rsidR="001325FC">
        <w:rPr>
          <w:rFonts w:hint="eastAsia"/>
          <w:b/>
          <w:sz w:val="18"/>
          <w:szCs w:val="18"/>
        </w:rPr>
        <w:t>ICD</w:t>
      </w:r>
      <w:r>
        <w:rPr>
          <w:b/>
          <w:sz w:val="18"/>
          <w:szCs w:val="18"/>
        </w:rPr>
        <w:t xml:space="preserve">, </w:t>
      </w:r>
      <w:r w:rsidR="0058650C">
        <w:rPr>
          <w:b/>
          <w:sz w:val="18"/>
          <w:szCs w:val="18"/>
        </w:rPr>
        <w:t>support them by the foll</w:t>
      </w:r>
      <w:r w:rsidR="00F54E40">
        <w:rPr>
          <w:b/>
          <w:sz w:val="18"/>
          <w:szCs w:val="18"/>
        </w:rPr>
        <w:t>owing</w:t>
      </w:r>
      <w:r>
        <w:rPr>
          <w:b/>
          <w:sz w:val="18"/>
          <w:szCs w:val="18"/>
        </w:rPr>
        <w:t>:</w:t>
      </w:r>
    </w:p>
    <w:p w14:paraId="0560CA4B" w14:textId="0556DA39" w:rsidR="00F55223" w:rsidRDefault="00F55223" w:rsidP="00B108E5">
      <w:pPr>
        <w:pStyle w:val="a"/>
        <w:numPr>
          <w:ilvl w:val="0"/>
          <w:numId w:val="5"/>
        </w:numPr>
        <w:textAlignment w:val="auto"/>
        <w:rPr>
          <w:rFonts w:cs="Times New Roman"/>
          <w:b/>
          <w:sz w:val="18"/>
          <w:szCs w:val="18"/>
        </w:rPr>
      </w:pPr>
      <w:r>
        <w:rPr>
          <w:rFonts w:cs="Times New Roman"/>
          <w:b/>
          <w:i/>
          <w:iCs/>
          <w:sz w:val="18"/>
          <w:szCs w:val="18"/>
        </w:rPr>
        <w:t>Ephemeris parameters</w:t>
      </w:r>
      <w:r>
        <w:rPr>
          <w:rFonts w:cs="Times New Roman"/>
          <w:b/>
          <w:sz w:val="18"/>
          <w:szCs w:val="18"/>
        </w:rPr>
        <w:t xml:space="preserve">: Reuse the existing IE </w:t>
      </w:r>
      <w:r>
        <w:rPr>
          <w:rFonts w:cs="Times New Roman"/>
          <w:b/>
          <w:i/>
          <w:iCs/>
          <w:sz w:val="18"/>
          <w:szCs w:val="18"/>
        </w:rPr>
        <w:t>NavModel-BDS-KeplerianSet2</w:t>
      </w:r>
      <w:r w:rsidR="00FC4F4C">
        <w:rPr>
          <w:rFonts w:cs="Times New Roman"/>
          <w:b/>
          <w:sz w:val="18"/>
          <w:szCs w:val="18"/>
        </w:rPr>
        <w:t xml:space="preserve"> but the field </w:t>
      </w:r>
      <w:proofErr w:type="spellStart"/>
      <w:r w:rsidR="00FC4F4C" w:rsidRPr="00112B46">
        <w:rPr>
          <w:rFonts w:cs="Times New Roman"/>
          <w:b/>
          <w:i/>
          <w:iCs/>
          <w:sz w:val="18"/>
          <w:szCs w:val="18"/>
        </w:rPr>
        <w:t>bdsIODE</w:t>
      </w:r>
      <w:proofErr w:type="spellEnd"/>
      <w:r w:rsidR="00FC4F4C" w:rsidRPr="00FC4F4C">
        <w:rPr>
          <w:rFonts w:cs="Times New Roman"/>
          <w:b/>
          <w:sz w:val="18"/>
          <w:szCs w:val="18"/>
        </w:rPr>
        <w:t xml:space="preserve"> is ignored</w:t>
      </w:r>
    </w:p>
    <w:p w14:paraId="55C1DDFC" w14:textId="47565A93" w:rsidR="00F55223" w:rsidRDefault="00F55223" w:rsidP="00B108E5">
      <w:pPr>
        <w:pStyle w:val="a"/>
        <w:numPr>
          <w:ilvl w:val="0"/>
          <w:numId w:val="5"/>
        </w:numPr>
        <w:textAlignment w:val="auto"/>
        <w:rPr>
          <w:rFonts w:cs="Times New Roman"/>
          <w:b/>
          <w:sz w:val="18"/>
          <w:szCs w:val="18"/>
        </w:rPr>
      </w:pPr>
      <w:r>
        <w:rPr>
          <w:rFonts w:cs="Times New Roman"/>
          <w:b/>
          <w:i/>
          <w:iCs/>
          <w:sz w:val="18"/>
          <w:szCs w:val="18"/>
        </w:rPr>
        <w:t>BDT-UTC Time Offset Parameter</w:t>
      </w:r>
      <w:r>
        <w:rPr>
          <w:rFonts w:cs="Times New Roman"/>
          <w:b/>
          <w:sz w:val="18"/>
          <w:szCs w:val="18"/>
        </w:rPr>
        <w:t xml:space="preserve">s: reuse the IE </w:t>
      </w:r>
      <w:r>
        <w:rPr>
          <w:rFonts w:cs="Times New Roman"/>
          <w:b/>
          <w:i/>
          <w:iCs/>
          <w:sz w:val="18"/>
          <w:szCs w:val="18"/>
        </w:rPr>
        <w:t>UTC-ModelSet2</w:t>
      </w:r>
      <w:r w:rsidR="009226A9">
        <w:rPr>
          <w:rFonts w:cs="Times New Roman"/>
          <w:b/>
          <w:sz w:val="18"/>
          <w:szCs w:val="18"/>
        </w:rPr>
        <w:t xml:space="preserve">. </w:t>
      </w:r>
      <w:r w:rsidR="00902AE9" w:rsidRPr="00902AE9">
        <w:rPr>
          <w:rFonts w:cs="Times New Roman"/>
          <w:b/>
          <w:sz w:val="18"/>
          <w:szCs w:val="18"/>
        </w:rPr>
        <w:t>Clarify in the field description that on the 3 bits from LSB are used. Legacy BDS may also have the same issue.</w:t>
      </w:r>
    </w:p>
    <w:p w14:paraId="5AE99614" w14:textId="3DEE4044" w:rsidR="00F55223" w:rsidRDefault="00F55223" w:rsidP="00B108E5">
      <w:pPr>
        <w:pStyle w:val="a"/>
        <w:numPr>
          <w:ilvl w:val="0"/>
          <w:numId w:val="5"/>
        </w:numPr>
        <w:textAlignment w:val="auto"/>
        <w:rPr>
          <w:rFonts w:cs="Times New Roman"/>
          <w:b/>
          <w:sz w:val="18"/>
          <w:szCs w:val="18"/>
        </w:rPr>
      </w:pPr>
      <w:r>
        <w:rPr>
          <w:rFonts w:cs="Times New Roman"/>
          <w:b/>
          <w:i/>
          <w:iCs/>
          <w:sz w:val="18"/>
          <w:szCs w:val="18"/>
        </w:rPr>
        <w:t>Satellite Health Status</w:t>
      </w:r>
      <w:r>
        <w:rPr>
          <w:rFonts w:cs="Times New Roman"/>
          <w:b/>
          <w:sz w:val="18"/>
          <w:szCs w:val="18"/>
        </w:rPr>
        <w:t xml:space="preserve">: reuse the existing IE </w:t>
      </w:r>
      <w:r>
        <w:rPr>
          <w:rFonts w:cs="Times New Roman"/>
          <w:b/>
          <w:i/>
          <w:iCs/>
          <w:noProof/>
          <w:sz w:val="18"/>
          <w:szCs w:val="18"/>
        </w:rPr>
        <w:t>svHealth</w:t>
      </w:r>
      <w:r w:rsidR="008E6837">
        <w:rPr>
          <w:rFonts w:cs="Times New Roman"/>
          <w:b/>
          <w:noProof/>
          <w:sz w:val="18"/>
          <w:szCs w:val="18"/>
        </w:rPr>
        <w:t xml:space="preserve">. </w:t>
      </w:r>
      <w:r w:rsidR="008E6837" w:rsidRPr="008E6837">
        <w:rPr>
          <w:rFonts w:cs="Times New Roman"/>
          <w:b/>
          <w:noProof/>
          <w:sz w:val="18"/>
          <w:szCs w:val="18"/>
        </w:rPr>
        <w:t>But clarify that bit 1 and bit 2 are used for B2b signal</w:t>
      </w:r>
    </w:p>
    <w:p w14:paraId="4E2F74ED" w14:textId="77777777" w:rsidR="00F55223" w:rsidRDefault="00F55223" w:rsidP="00B108E5">
      <w:pPr>
        <w:pStyle w:val="a"/>
        <w:numPr>
          <w:ilvl w:val="0"/>
          <w:numId w:val="5"/>
        </w:numPr>
        <w:textAlignment w:val="auto"/>
        <w:rPr>
          <w:rFonts w:cs="Times New Roman"/>
          <w:b/>
          <w:sz w:val="18"/>
          <w:szCs w:val="18"/>
        </w:rPr>
      </w:pPr>
      <w:r>
        <w:rPr>
          <w:rFonts w:cs="Times New Roman"/>
          <w:b/>
          <w:noProof/>
          <w:sz w:val="18"/>
          <w:szCs w:val="18"/>
        </w:rPr>
        <w:t>No change is needed for all the parameters related to integrity in the nav message.</w:t>
      </w:r>
    </w:p>
    <w:p w14:paraId="7917579C" w14:textId="77777777" w:rsidR="00C24785" w:rsidRPr="00C24785" w:rsidRDefault="00C24785" w:rsidP="005640C8">
      <w:pPr>
        <w:spacing w:after="0"/>
        <w:jc w:val="both"/>
        <w:rPr>
          <w:bCs/>
        </w:rPr>
      </w:pPr>
    </w:p>
    <w:p w14:paraId="4BED123C" w14:textId="44C9FD31" w:rsidR="008A7FAE" w:rsidRDefault="008A7FAE" w:rsidP="008A7FAE">
      <w:pPr>
        <w:pStyle w:val="1"/>
        <w:spacing w:before="100" w:beforeAutospacing="1" w:after="100" w:afterAutospacing="1"/>
        <w:ind w:left="0" w:firstLine="0"/>
        <w:jc w:val="both"/>
      </w:pPr>
      <w:r>
        <w:t>4. References</w:t>
      </w:r>
    </w:p>
    <w:p w14:paraId="1C99F5F4" w14:textId="39BF517A" w:rsidR="002D7CFB" w:rsidRDefault="002D7CFB" w:rsidP="005640C8">
      <w:pPr>
        <w:spacing w:after="0"/>
        <w:jc w:val="both"/>
        <w:rPr>
          <w:b/>
        </w:rPr>
      </w:pPr>
    </w:p>
    <w:p w14:paraId="7BA5917B" w14:textId="1968FFAC" w:rsidR="002D7CFB" w:rsidRPr="008C026E" w:rsidRDefault="002D7CFB" w:rsidP="005640C8">
      <w:pPr>
        <w:spacing w:after="0"/>
        <w:jc w:val="both"/>
        <w:rPr>
          <w:bCs/>
        </w:rPr>
      </w:pPr>
      <w:r w:rsidRPr="008C026E">
        <w:rPr>
          <w:rFonts w:hint="eastAsia"/>
          <w:bCs/>
        </w:rPr>
        <w:t>[</w:t>
      </w:r>
      <w:r w:rsidRPr="008C026E">
        <w:rPr>
          <w:bCs/>
        </w:rPr>
        <w:t xml:space="preserve">1] BDS B2b signal ICD, </w:t>
      </w:r>
      <w:hyperlink r:id="rId23" w:history="1">
        <w:r w:rsidRPr="008C026E">
          <w:rPr>
            <w:rStyle w:val="ab"/>
            <w:bCs/>
            <w:i/>
            <w:iCs/>
            <w:lang w:val="en-US"/>
          </w:rPr>
          <w:t>http://www.beidou.gov.cn/xt/gfxz/202008/P020230516558683155109.pdf</w:t>
        </w:r>
      </w:hyperlink>
    </w:p>
    <w:sectPr w:rsidR="002D7CFB" w:rsidRPr="008C026E" w:rsidSect="006C32F7">
      <w:headerReference w:type="defaul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5978B" w14:textId="77777777" w:rsidR="00D72E6A" w:rsidRDefault="00D72E6A">
      <w:r>
        <w:separator/>
      </w:r>
    </w:p>
  </w:endnote>
  <w:endnote w:type="continuationSeparator" w:id="0">
    <w:p w14:paraId="1B99BF4B" w14:textId="77777777" w:rsidR="00D72E6A" w:rsidRDefault="00D7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E9CDA" w14:textId="77777777" w:rsidR="00D72E6A" w:rsidRDefault="00D72E6A">
      <w:r>
        <w:separator/>
      </w:r>
    </w:p>
  </w:footnote>
  <w:footnote w:type="continuationSeparator" w:id="0">
    <w:p w14:paraId="1715A2F0" w14:textId="77777777" w:rsidR="00D72E6A" w:rsidRDefault="00D72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D42509" w:rsidRDefault="00D4250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65732870"/>
    <w:multiLevelType w:val="hybridMultilevel"/>
    <w:tmpl w:val="095A0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F8158E"/>
    <w:multiLevelType w:val="hybridMultilevel"/>
    <w:tmpl w:val="FDFEAF74"/>
    <w:lvl w:ilvl="0" w:tplc="8684D984">
      <w:start w:val="1"/>
      <w:numFmt w:val="bullet"/>
      <w:pStyle w:val="a"/>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2A"/>
    <w:rsid w:val="000049C9"/>
    <w:rsid w:val="00004A72"/>
    <w:rsid w:val="00005065"/>
    <w:rsid w:val="0000509C"/>
    <w:rsid w:val="0000518C"/>
    <w:rsid w:val="000052E8"/>
    <w:rsid w:val="00005463"/>
    <w:rsid w:val="00006454"/>
    <w:rsid w:val="000077E8"/>
    <w:rsid w:val="00007C8C"/>
    <w:rsid w:val="00007CE8"/>
    <w:rsid w:val="000102C6"/>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1B1"/>
    <w:rsid w:val="0002666B"/>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5F8"/>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39E8"/>
    <w:rsid w:val="000448CC"/>
    <w:rsid w:val="00044C61"/>
    <w:rsid w:val="00044F33"/>
    <w:rsid w:val="00045321"/>
    <w:rsid w:val="00046908"/>
    <w:rsid w:val="00046B14"/>
    <w:rsid w:val="00046BCB"/>
    <w:rsid w:val="00047025"/>
    <w:rsid w:val="000474BB"/>
    <w:rsid w:val="00050B1C"/>
    <w:rsid w:val="00050F8F"/>
    <w:rsid w:val="000512B0"/>
    <w:rsid w:val="0005167C"/>
    <w:rsid w:val="00051899"/>
    <w:rsid w:val="00052093"/>
    <w:rsid w:val="00053161"/>
    <w:rsid w:val="00053B45"/>
    <w:rsid w:val="0005517D"/>
    <w:rsid w:val="00055322"/>
    <w:rsid w:val="00055585"/>
    <w:rsid w:val="000557E6"/>
    <w:rsid w:val="00056175"/>
    <w:rsid w:val="00056419"/>
    <w:rsid w:val="0005666E"/>
    <w:rsid w:val="00056C52"/>
    <w:rsid w:val="0005728E"/>
    <w:rsid w:val="00060E2F"/>
    <w:rsid w:val="00062E25"/>
    <w:rsid w:val="00063374"/>
    <w:rsid w:val="000634D2"/>
    <w:rsid w:val="00063EE5"/>
    <w:rsid w:val="000643AF"/>
    <w:rsid w:val="000647A6"/>
    <w:rsid w:val="00064A43"/>
    <w:rsid w:val="00064C69"/>
    <w:rsid w:val="00064D73"/>
    <w:rsid w:val="000658A9"/>
    <w:rsid w:val="0006653C"/>
    <w:rsid w:val="00066FA2"/>
    <w:rsid w:val="00067643"/>
    <w:rsid w:val="00067B67"/>
    <w:rsid w:val="00067FC9"/>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275"/>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2A6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3AC8"/>
    <w:rsid w:val="000B4129"/>
    <w:rsid w:val="000B46C2"/>
    <w:rsid w:val="000B5BCC"/>
    <w:rsid w:val="000B6299"/>
    <w:rsid w:val="000B6696"/>
    <w:rsid w:val="000B6801"/>
    <w:rsid w:val="000B6B6E"/>
    <w:rsid w:val="000B6CDE"/>
    <w:rsid w:val="000B7110"/>
    <w:rsid w:val="000C0014"/>
    <w:rsid w:val="000C038A"/>
    <w:rsid w:val="000C0A7C"/>
    <w:rsid w:val="000C0C8F"/>
    <w:rsid w:val="000C1A6E"/>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B46"/>
    <w:rsid w:val="00112E84"/>
    <w:rsid w:val="001132F6"/>
    <w:rsid w:val="0011339B"/>
    <w:rsid w:val="00113A60"/>
    <w:rsid w:val="00113B77"/>
    <w:rsid w:val="001141EA"/>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5FC"/>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072A"/>
    <w:rsid w:val="00141246"/>
    <w:rsid w:val="001418E0"/>
    <w:rsid w:val="001419FB"/>
    <w:rsid w:val="00141C38"/>
    <w:rsid w:val="001425E9"/>
    <w:rsid w:val="00143690"/>
    <w:rsid w:val="00143FCF"/>
    <w:rsid w:val="0014430D"/>
    <w:rsid w:val="0014461D"/>
    <w:rsid w:val="00144891"/>
    <w:rsid w:val="00144AEA"/>
    <w:rsid w:val="00145D43"/>
    <w:rsid w:val="00146246"/>
    <w:rsid w:val="001467BA"/>
    <w:rsid w:val="00146A94"/>
    <w:rsid w:val="00146B92"/>
    <w:rsid w:val="00146D37"/>
    <w:rsid w:val="001471FF"/>
    <w:rsid w:val="001475A0"/>
    <w:rsid w:val="00147B71"/>
    <w:rsid w:val="00150AD1"/>
    <w:rsid w:val="00150B6E"/>
    <w:rsid w:val="00150EF5"/>
    <w:rsid w:val="00151A39"/>
    <w:rsid w:val="00151F17"/>
    <w:rsid w:val="00151FA4"/>
    <w:rsid w:val="00152550"/>
    <w:rsid w:val="001531B3"/>
    <w:rsid w:val="00153323"/>
    <w:rsid w:val="0015358C"/>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59E"/>
    <w:rsid w:val="00161723"/>
    <w:rsid w:val="00161794"/>
    <w:rsid w:val="00161B88"/>
    <w:rsid w:val="00162369"/>
    <w:rsid w:val="00162565"/>
    <w:rsid w:val="001632F2"/>
    <w:rsid w:val="00163D49"/>
    <w:rsid w:val="00164307"/>
    <w:rsid w:val="001651B5"/>
    <w:rsid w:val="00165485"/>
    <w:rsid w:val="0016573E"/>
    <w:rsid w:val="00165AD1"/>
    <w:rsid w:val="00165C82"/>
    <w:rsid w:val="00165F9A"/>
    <w:rsid w:val="00166644"/>
    <w:rsid w:val="00166657"/>
    <w:rsid w:val="0016681B"/>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B93"/>
    <w:rsid w:val="001800D3"/>
    <w:rsid w:val="00180621"/>
    <w:rsid w:val="00181138"/>
    <w:rsid w:val="00181201"/>
    <w:rsid w:val="001813A1"/>
    <w:rsid w:val="001820FB"/>
    <w:rsid w:val="00182B22"/>
    <w:rsid w:val="001833A4"/>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22F"/>
    <w:rsid w:val="001A166F"/>
    <w:rsid w:val="001A3567"/>
    <w:rsid w:val="001A3B18"/>
    <w:rsid w:val="001A4153"/>
    <w:rsid w:val="001A4346"/>
    <w:rsid w:val="001A452F"/>
    <w:rsid w:val="001A454C"/>
    <w:rsid w:val="001A4665"/>
    <w:rsid w:val="001A4731"/>
    <w:rsid w:val="001A4C26"/>
    <w:rsid w:val="001A4CBF"/>
    <w:rsid w:val="001A5B71"/>
    <w:rsid w:val="001A6150"/>
    <w:rsid w:val="001A61A9"/>
    <w:rsid w:val="001A6338"/>
    <w:rsid w:val="001A6DD3"/>
    <w:rsid w:val="001A7B60"/>
    <w:rsid w:val="001B0CF0"/>
    <w:rsid w:val="001B0D85"/>
    <w:rsid w:val="001B0F05"/>
    <w:rsid w:val="001B1415"/>
    <w:rsid w:val="001B188E"/>
    <w:rsid w:val="001B2A55"/>
    <w:rsid w:val="001B2D04"/>
    <w:rsid w:val="001B38C2"/>
    <w:rsid w:val="001B4002"/>
    <w:rsid w:val="001B4222"/>
    <w:rsid w:val="001B469F"/>
    <w:rsid w:val="001B4999"/>
    <w:rsid w:val="001B4DDB"/>
    <w:rsid w:val="001B5AF5"/>
    <w:rsid w:val="001B5AFC"/>
    <w:rsid w:val="001B5F1B"/>
    <w:rsid w:val="001B615A"/>
    <w:rsid w:val="001B7A65"/>
    <w:rsid w:val="001C0C8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2F7"/>
    <w:rsid w:val="001D4BE2"/>
    <w:rsid w:val="001D5341"/>
    <w:rsid w:val="001D549F"/>
    <w:rsid w:val="001D56A6"/>
    <w:rsid w:val="001D58C6"/>
    <w:rsid w:val="001D61F9"/>
    <w:rsid w:val="001D6358"/>
    <w:rsid w:val="001D6DD7"/>
    <w:rsid w:val="001D7522"/>
    <w:rsid w:val="001D7734"/>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75F"/>
    <w:rsid w:val="00206B14"/>
    <w:rsid w:val="00206DE8"/>
    <w:rsid w:val="00207362"/>
    <w:rsid w:val="002076D8"/>
    <w:rsid w:val="0020771D"/>
    <w:rsid w:val="002077B6"/>
    <w:rsid w:val="00210A68"/>
    <w:rsid w:val="00210DC9"/>
    <w:rsid w:val="00211857"/>
    <w:rsid w:val="00211C5A"/>
    <w:rsid w:val="002133B7"/>
    <w:rsid w:val="00213CEA"/>
    <w:rsid w:val="00214706"/>
    <w:rsid w:val="00216D90"/>
    <w:rsid w:val="00216F1A"/>
    <w:rsid w:val="0022010C"/>
    <w:rsid w:val="00220769"/>
    <w:rsid w:val="00220F66"/>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185"/>
    <w:rsid w:val="0023069F"/>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3E"/>
    <w:rsid w:val="002468B4"/>
    <w:rsid w:val="002473FD"/>
    <w:rsid w:val="00247766"/>
    <w:rsid w:val="00247832"/>
    <w:rsid w:val="00247A2F"/>
    <w:rsid w:val="00250586"/>
    <w:rsid w:val="002505EF"/>
    <w:rsid w:val="002508C1"/>
    <w:rsid w:val="00250AAA"/>
    <w:rsid w:val="00250EB9"/>
    <w:rsid w:val="002517E1"/>
    <w:rsid w:val="00252703"/>
    <w:rsid w:val="002528AB"/>
    <w:rsid w:val="002528EF"/>
    <w:rsid w:val="00253E54"/>
    <w:rsid w:val="002559C9"/>
    <w:rsid w:val="00256ABE"/>
    <w:rsid w:val="00256CE4"/>
    <w:rsid w:val="002577A5"/>
    <w:rsid w:val="002579D4"/>
    <w:rsid w:val="0026004D"/>
    <w:rsid w:val="002603A1"/>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0CE"/>
    <w:rsid w:val="00265692"/>
    <w:rsid w:val="00265CF9"/>
    <w:rsid w:val="00266045"/>
    <w:rsid w:val="0026629E"/>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0FE4"/>
    <w:rsid w:val="00281203"/>
    <w:rsid w:val="00281370"/>
    <w:rsid w:val="002821EF"/>
    <w:rsid w:val="00282F82"/>
    <w:rsid w:val="002836B4"/>
    <w:rsid w:val="002837F9"/>
    <w:rsid w:val="00283CB8"/>
    <w:rsid w:val="00284A9D"/>
    <w:rsid w:val="00284D79"/>
    <w:rsid w:val="00284E11"/>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7F2"/>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775"/>
    <w:rsid w:val="002B6851"/>
    <w:rsid w:val="002B7341"/>
    <w:rsid w:val="002B76D9"/>
    <w:rsid w:val="002B779D"/>
    <w:rsid w:val="002B7AA4"/>
    <w:rsid w:val="002B7B8A"/>
    <w:rsid w:val="002B7B9C"/>
    <w:rsid w:val="002C09E6"/>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639E"/>
    <w:rsid w:val="002D67AC"/>
    <w:rsid w:val="002D6892"/>
    <w:rsid w:val="002D6D61"/>
    <w:rsid w:val="002D7648"/>
    <w:rsid w:val="002D7CFB"/>
    <w:rsid w:val="002E0C86"/>
    <w:rsid w:val="002E32D0"/>
    <w:rsid w:val="002E35DE"/>
    <w:rsid w:val="002E3E38"/>
    <w:rsid w:val="002E426E"/>
    <w:rsid w:val="002E467D"/>
    <w:rsid w:val="002E486F"/>
    <w:rsid w:val="002E4AAF"/>
    <w:rsid w:val="002E5299"/>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5BB1"/>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0DA9"/>
    <w:rsid w:val="0032156E"/>
    <w:rsid w:val="00321756"/>
    <w:rsid w:val="003218D5"/>
    <w:rsid w:val="00321B9C"/>
    <w:rsid w:val="00322035"/>
    <w:rsid w:val="0032234C"/>
    <w:rsid w:val="00322532"/>
    <w:rsid w:val="0032308E"/>
    <w:rsid w:val="00323A32"/>
    <w:rsid w:val="00323F72"/>
    <w:rsid w:val="0032401D"/>
    <w:rsid w:val="0032404C"/>
    <w:rsid w:val="00324938"/>
    <w:rsid w:val="00324B8D"/>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0E2"/>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8EA"/>
    <w:rsid w:val="00373CED"/>
    <w:rsid w:val="0037453F"/>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87366"/>
    <w:rsid w:val="003902B2"/>
    <w:rsid w:val="003915B5"/>
    <w:rsid w:val="00391855"/>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21A"/>
    <w:rsid w:val="003B7278"/>
    <w:rsid w:val="003B7994"/>
    <w:rsid w:val="003B7D14"/>
    <w:rsid w:val="003C0650"/>
    <w:rsid w:val="003C075B"/>
    <w:rsid w:val="003C0BAF"/>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1254"/>
    <w:rsid w:val="003D2786"/>
    <w:rsid w:val="003D3162"/>
    <w:rsid w:val="003D32B4"/>
    <w:rsid w:val="003D36D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19D"/>
    <w:rsid w:val="003F1589"/>
    <w:rsid w:val="003F1A8E"/>
    <w:rsid w:val="003F40DA"/>
    <w:rsid w:val="003F43F6"/>
    <w:rsid w:val="003F448E"/>
    <w:rsid w:val="003F46A1"/>
    <w:rsid w:val="003F4893"/>
    <w:rsid w:val="003F49BA"/>
    <w:rsid w:val="003F6A1C"/>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6E9F"/>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1FF"/>
    <w:rsid w:val="004149F4"/>
    <w:rsid w:val="00415027"/>
    <w:rsid w:val="004150FE"/>
    <w:rsid w:val="00415162"/>
    <w:rsid w:val="0041564B"/>
    <w:rsid w:val="00416230"/>
    <w:rsid w:val="0041681B"/>
    <w:rsid w:val="00416A1C"/>
    <w:rsid w:val="0041730D"/>
    <w:rsid w:val="004173EF"/>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C3"/>
    <w:rsid w:val="00433753"/>
    <w:rsid w:val="00433D47"/>
    <w:rsid w:val="00435010"/>
    <w:rsid w:val="004357D1"/>
    <w:rsid w:val="00435EC0"/>
    <w:rsid w:val="0043686B"/>
    <w:rsid w:val="00436A4A"/>
    <w:rsid w:val="00437050"/>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77E"/>
    <w:rsid w:val="0044589A"/>
    <w:rsid w:val="00445D18"/>
    <w:rsid w:val="00445EA6"/>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23E"/>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22C6"/>
    <w:rsid w:val="004927CB"/>
    <w:rsid w:val="00493029"/>
    <w:rsid w:val="004932C7"/>
    <w:rsid w:val="004940A5"/>
    <w:rsid w:val="00494779"/>
    <w:rsid w:val="00494B51"/>
    <w:rsid w:val="00494B8D"/>
    <w:rsid w:val="004950E2"/>
    <w:rsid w:val="00495A32"/>
    <w:rsid w:val="00495B01"/>
    <w:rsid w:val="004964AD"/>
    <w:rsid w:val="004966C1"/>
    <w:rsid w:val="004966E2"/>
    <w:rsid w:val="004A0230"/>
    <w:rsid w:val="004A0B8D"/>
    <w:rsid w:val="004A0D02"/>
    <w:rsid w:val="004A1840"/>
    <w:rsid w:val="004A288C"/>
    <w:rsid w:val="004A2DEA"/>
    <w:rsid w:val="004A31A3"/>
    <w:rsid w:val="004A3402"/>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0F61"/>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E52"/>
    <w:rsid w:val="004E241B"/>
    <w:rsid w:val="004E25A3"/>
    <w:rsid w:val="004E2631"/>
    <w:rsid w:val="004E34D4"/>
    <w:rsid w:val="004E3647"/>
    <w:rsid w:val="004E37D9"/>
    <w:rsid w:val="004E4BF8"/>
    <w:rsid w:val="004E52F6"/>
    <w:rsid w:val="004E68E2"/>
    <w:rsid w:val="004E71B7"/>
    <w:rsid w:val="004F000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64"/>
    <w:rsid w:val="005105CD"/>
    <w:rsid w:val="00510A6F"/>
    <w:rsid w:val="00510C5F"/>
    <w:rsid w:val="0051139B"/>
    <w:rsid w:val="00511CE7"/>
    <w:rsid w:val="00512333"/>
    <w:rsid w:val="00512BC2"/>
    <w:rsid w:val="00512EAC"/>
    <w:rsid w:val="0051331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CDE"/>
    <w:rsid w:val="00544F27"/>
    <w:rsid w:val="00546389"/>
    <w:rsid w:val="00546968"/>
    <w:rsid w:val="005469D3"/>
    <w:rsid w:val="00546B53"/>
    <w:rsid w:val="00546D80"/>
    <w:rsid w:val="005478A9"/>
    <w:rsid w:val="00550086"/>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0C8"/>
    <w:rsid w:val="00564892"/>
    <w:rsid w:val="00565367"/>
    <w:rsid w:val="00565E4F"/>
    <w:rsid w:val="005666A1"/>
    <w:rsid w:val="00567BD8"/>
    <w:rsid w:val="00567C76"/>
    <w:rsid w:val="00570DB7"/>
    <w:rsid w:val="00570E76"/>
    <w:rsid w:val="00570F75"/>
    <w:rsid w:val="005715E1"/>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4E8D"/>
    <w:rsid w:val="00585087"/>
    <w:rsid w:val="00585287"/>
    <w:rsid w:val="005858E4"/>
    <w:rsid w:val="00585903"/>
    <w:rsid w:val="00585D62"/>
    <w:rsid w:val="0058650C"/>
    <w:rsid w:val="0058653F"/>
    <w:rsid w:val="00586A9E"/>
    <w:rsid w:val="00587601"/>
    <w:rsid w:val="00587F12"/>
    <w:rsid w:val="005905F3"/>
    <w:rsid w:val="00590EDE"/>
    <w:rsid w:val="0059248F"/>
    <w:rsid w:val="0059289D"/>
    <w:rsid w:val="00592C0A"/>
    <w:rsid w:val="00592D74"/>
    <w:rsid w:val="005948D8"/>
    <w:rsid w:val="00594A76"/>
    <w:rsid w:val="005972B2"/>
    <w:rsid w:val="005974E3"/>
    <w:rsid w:val="00597E01"/>
    <w:rsid w:val="005A02E4"/>
    <w:rsid w:val="005A0F2F"/>
    <w:rsid w:val="005A11C3"/>
    <w:rsid w:val="005A1235"/>
    <w:rsid w:val="005A1CD8"/>
    <w:rsid w:val="005A1DC8"/>
    <w:rsid w:val="005A2472"/>
    <w:rsid w:val="005A2D0F"/>
    <w:rsid w:val="005A2DA4"/>
    <w:rsid w:val="005A2EDF"/>
    <w:rsid w:val="005A3025"/>
    <w:rsid w:val="005A31AC"/>
    <w:rsid w:val="005A3445"/>
    <w:rsid w:val="005A3855"/>
    <w:rsid w:val="005A39F1"/>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0A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C7DA1"/>
    <w:rsid w:val="005D00D3"/>
    <w:rsid w:val="005D086E"/>
    <w:rsid w:val="005D0BC5"/>
    <w:rsid w:val="005D1275"/>
    <w:rsid w:val="005D13B8"/>
    <w:rsid w:val="005D1682"/>
    <w:rsid w:val="005D19AA"/>
    <w:rsid w:val="005D2517"/>
    <w:rsid w:val="005D309E"/>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3FFC"/>
    <w:rsid w:val="005E41A3"/>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53D"/>
    <w:rsid w:val="00604CB1"/>
    <w:rsid w:val="00605CF6"/>
    <w:rsid w:val="00605E5B"/>
    <w:rsid w:val="00607232"/>
    <w:rsid w:val="00607399"/>
    <w:rsid w:val="0060765A"/>
    <w:rsid w:val="00607C42"/>
    <w:rsid w:val="0061020D"/>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2DEF"/>
    <w:rsid w:val="00623A56"/>
    <w:rsid w:val="00623EAF"/>
    <w:rsid w:val="00624C3B"/>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6A9"/>
    <w:rsid w:val="00632EC5"/>
    <w:rsid w:val="006332B3"/>
    <w:rsid w:val="00633A61"/>
    <w:rsid w:val="006346D5"/>
    <w:rsid w:val="006351DB"/>
    <w:rsid w:val="006356DC"/>
    <w:rsid w:val="00635F49"/>
    <w:rsid w:val="00636102"/>
    <w:rsid w:val="00636232"/>
    <w:rsid w:val="00636627"/>
    <w:rsid w:val="00636F1E"/>
    <w:rsid w:val="006376A7"/>
    <w:rsid w:val="006402FB"/>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272D"/>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0FC"/>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595"/>
    <w:rsid w:val="00685CAD"/>
    <w:rsid w:val="006861F4"/>
    <w:rsid w:val="00686496"/>
    <w:rsid w:val="006868FC"/>
    <w:rsid w:val="00686A0B"/>
    <w:rsid w:val="00686F30"/>
    <w:rsid w:val="00686F7F"/>
    <w:rsid w:val="0068780A"/>
    <w:rsid w:val="00687A3D"/>
    <w:rsid w:val="00690749"/>
    <w:rsid w:val="0069089B"/>
    <w:rsid w:val="006909E1"/>
    <w:rsid w:val="00691F9B"/>
    <w:rsid w:val="00692B40"/>
    <w:rsid w:val="00692EEE"/>
    <w:rsid w:val="0069304E"/>
    <w:rsid w:val="00693320"/>
    <w:rsid w:val="00693A19"/>
    <w:rsid w:val="0069404E"/>
    <w:rsid w:val="006940A0"/>
    <w:rsid w:val="00694603"/>
    <w:rsid w:val="00695758"/>
    <w:rsid w:val="00695808"/>
    <w:rsid w:val="00696761"/>
    <w:rsid w:val="00696F71"/>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68AD"/>
    <w:rsid w:val="006B73AE"/>
    <w:rsid w:val="006C01AC"/>
    <w:rsid w:val="006C0A09"/>
    <w:rsid w:val="006C17AF"/>
    <w:rsid w:val="006C198E"/>
    <w:rsid w:val="006C1D40"/>
    <w:rsid w:val="006C30B3"/>
    <w:rsid w:val="006C32F7"/>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157"/>
    <w:rsid w:val="006D4363"/>
    <w:rsid w:val="006D48C7"/>
    <w:rsid w:val="006D4B82"/>
    <w:rsid w:val="006D604D"/>
    <w:rsid w:val="006D61E1"/>
    <w:rsid w:val="006D6CCB"/>
    <w:rsid w:val="006D6CEB"/>
    <w:rsid w:val="006D7ACD"/>
    <w:rsid w:val="006D7B96"/>
    <w:rsid w:val="006E02D3"/>
    <w:rsid w:val="006E03F6"/>
    <w:rsid w:val="006E0B91"/>
    <w:rsid w:val="006E0FBB"/>
    <w:rsid w:val="006E13A6"/>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2EB7"/>
    <w:rsid w:val="00703081"/>
    <w:rsid w:val="007035CE"/>
    <w:rsid w:val="00703919"/>
    <w:rsid w:val="00704601"/>
    <w:rsid w:val="00705121"/>
    <w:rsid w:val="00705665"/>
    <w:rsid w:val="00706417"/>
    <w:rsid w:val="0070668F"/>
    <w:rsid w:val="00706EA3"/>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537"/>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5C2"/>
    <w:rsid w:val="0075087A"/>
    <w:rsid w:val="00750AA5"/>
    <w:rsid w:val="00751327"/>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18D5"/>
    <w:rsid w:val="00772034"/>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98A"/>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233"/>
    <w:rsid w:val="007A4B14"/>
    <w:rsid w:val="007A4F32"/>
    <w:rsid w:val="007A54F3"/>
    <w:rsid w:val="007A55C8"/>
    <w:rsid w:val="007A5689"/>
    <w:rsid w:val="007A5BB0"/>
    <w:rsid w:val="007A5BB3"/>
    <w:rsid w:val="007A6EE7"/>
    <w:rsid w:val="007A6F37"/>
    <w:rsid w:val="007A7BD9"/>
    <w:rsid w:val="007A7C34"/>
    <w:rsid w:val="007B0550"/>
    <w:rsid w:val="007B0559"/>
    <w:rsid w:val="007B07E2"/>
    <w:rsid w:val="007B0A00"/>
    <w:rsid w:val="007B1195"/>
    <w:rsid w:val="007B35E1"/>
    <w:rsid w:val="007B3CAA"/>
    <w:rsid w:val="007B4466"/>
    <w:rsid w:val="007B45BF"/>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04C"/>
    <w:rsid w:val="007D565F"/>
    <w:rsid w:val="007D5E2D"/>
    <w:rsid w:val="007D696B"/>
    <w:rsid w:val="007D6A07"/>
    <w:rsid w:val="007D728E"/>
    <w:rsid w:val="007E003D"/>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4DBA"/>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5ED8"/>
    <w:rsid w:val="00816EC6"/>
    <w:rsid w:val="008172D9"/>
    <w:rsid w:val="00817575"/>
    <w:rsid w:val="008178D1"/>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1E49"/>
    <w:rsid w:val="00842085"/>
    <w:rsid w:val="00842974"/>
    <w:rsid w:val="008432D0"/>
    <w:rsid w:val="00843449"/>
    <w:rsid w:val="00844509"/>
    <w:rsid w:val="008446B5"/>
    <w:rsid w:val="00844DC7"/>
    <w:rsid w:val="008454D9"/>
    <w:rsid w:val="00845763"/>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374E"/>
    <w:rsid w:val="00874164"/>
    <w:rsid w:val="00874194"/>
    <w:rsid w:val="00875530"/>
    <w:rsid w:val="0087568A"/>
    <w:rsid w:val="0087624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5B8"/>
    <w:rsid w:val="008A294A"/>
    <w:rsid w:val="008A4530"/>
    <w:rsid w:val="008A4C0F"/>
    <w:rsid w:val="008A4E2D"/>
    <w:rsid w:val="008A4E52"/>
    <w:rsid w:val="008A655D"/>
    <w:rsid w:val="008A74AE"/>
    <w:rsid w:val="008A7532"/>
    <w:rsid w:val="008A7B0F"/>
    <w:rsid w:val="008A7D9D"/>
    <w:rsid w:val="008A7FAE"/>
    <w:rsid w:val="008B12B5"/>
    <w:rsid w:val="008B12FA"/>
    <w:rsid w:val="008B16FD"/>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26E"/>
    <w:rsid w:val="008C0981"/>
    <w:rsid w:val="008C09B6"/>
    <w:rsid w:val="008C23D0"/>
    <w:rsid w:val="008C29A4"/>
    <w:rsid w:val="008C2D82"/>
    <w:rsid w:val="008C3206"/>
    <w:rsid w:val="008C3C78"/>
    <w:rsid w:val="008C3E92"/>
    <w:rsid w:val="008C408E"/>
    <w:rsid w:val="008C483F"/>
    <w:rsid w:val="008C514D"/>
    <w:rsid w:val="008C5AE5"/>
    <w:rsid w:val="008C5C0D"/>
    <w:rsid w:val="008C5F09"/>
    <w:rsid w:val="008C600F"/>
    <w:rsid w:val="008C6564"/>
    <w:rsid w:val="008C729E"/>
    <w:rsid w:val="008C750B"/>
    <w:rsid w:val="008C7F37"/>
    <w:rsid w:val="008D0D2F"/>
    <w:rsid w:val="008D1DB0"/>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837"/>
    <w:rsid w:val="008E6A1A"/>
    <w:rsid w:val="008E6D09"/>
    <w:rsid w:val="008E756C"/>
    <w:rsid w:val="008E7960"/>
    <w:rsid w:val="008E7ABE"/>
    <w:rsid w:val="008F20DF"/>
    <w:rsid w:val="008F2DAC"/>
    <w:rsid w:val="008F2DCF"/>
    <w:rsid w:val="008F3F0D"/>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6B1"/>
    <w:rsid w:val="00902AE9"/>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6A9"/>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869"/>
    <w:rsid w:val="00931B70"/>
    <w:rsid w:val="00931C15"/>
    <w:rsid w:val="009321AC"/>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2D2"/>
    <w:rsid w:val="0094650E"/>
    <w:rsid w:val="0094679D"/>
    <w:rsid w:val="009505C2"/>
    <w:rsid w:val="009507F7"/>
    <w:rsid w:val="00950CA0"/>
    <w:rsid w:val="00950F62"/>
    <w:rsid w:val="00951441"/>
    <w:rsid w:val="0095165F"/>
    <w:rsid w:val="00951A1C"/>
    <w:rsid w:val="00951FE1"/>
    <w:rsid w:val="009525FB"/>
    <w:rsid w:val="00952A39"/>
    <w:rsid w:val="00952FFD"/>
    <w:rsid w:val="00953688"/>
    <w:rsid w:val="009543B4"/>
    <w:rsid w:val="00954449"/>
    <w:rsid w:val="00955DA5"/>
    <w:rsid w:val="00955E2A"/>
    <w:rsid w:val="0095634E"/>
    <w:rsid w:val="00956456"/>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B91"/>
    <w:rsid w:val="00977EE4"/>
    <w:rsid w:val="0098031B"/>
    <w:rsid w:val="00980541"/>
    <w:rsid w:val="00980901"/>
    <w:rsid w:val="009809E5"/>
    <w:rsid w:val="00981273"/>
    <w:rsid w:val="00981548"/>
    <w:rsid w:val="00981C66"/>
    <w:rsid w:val="00982539"/>
    <w:rsid w:val="00982ED6"/>
    <w:rsid w:val="00984C90"/>
    <w:rsid w:val="009855F1"/>
    <w:rsid w:val="00985980"/>
    <w:rsid w:val="00985DAA"/>
    <w:rsid w:val="009865AC"/>
    <w:rsid w:val="00986AA3"/>
    <w:rsid w:val="00987104"/>
    <w:rsid w:val="009872EE"/>
    <w:rsid w:val="00987D02"/>
    <w:rsid w:val="00987D1B"/>
    <w:rsid w:val="00987D71"/>
    <w:rsid w:val="00987DEC"/>
    <w:rsid w:val="00987F8E"/>
    <w:rsid w:val="00991842"/>
    <w:rsid w:val="00991961"/>
    <w:rsid w:val="00991B88"/>
    <w:rsid w:val="0099214A"/>
    <w:rsid w:val="00992478"/>
    <w:rsid w:val="009924B4"/>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72"/>
    <w:rsid w:val="00996BF2"/>
    <w:rsid w:val="009971BF"/>
    <w:rsid w:val="00997C85"/>
    <w:rsid w:val="009A084A"/>
    <w:rsid w:val="009A0F0F"/>
    <w:rsid w:val="009A0FD3"/>
    <w:rsid w:val="009A25C6"/>
    <w:rsid w:val="009A28EC"/>
    <w:rsid w:val="009A2BC0"/>
    <w:rsid w:val="009A348B"/>
    <w:rsid w:val="009A34A3"/>
    <w:rsid w:val="009A3EB3"/>
    <w:rsid w:val="009A4082"/>
    <w:rsid w:val="009A4328"/>
    <w:rsid w:val="009A47A1"/>
    <w:rsid w:val="009A47F1"/>
    <w:rsid w:val="009A4892"/>
    <w:rsid w:val="009A515D"/>
    <w:rsid w:val="009A527F"/>
    <w:rsid w:val="009A579D"/>
    <w:rsid w:val="009A5D96"/>
    <w:rsid w:val="009A6809"/>
    <w:rsid w:val="009A6910"/>
    <w:rsid w:val="009A6A94"/>
    <w:rsid w:val="009A752D"/>
    <w:rsid w:val="009A7594"/>
    <w:rsid w:val="009A7DF7"/>
    <w:rsid w:val="009A7F02"/>
    <w:rsid w:val="009B042B"/>
    <w:rsid w:val="009B128C"/>
    <w:rsid w:val="009B138F"/>
    <w:rsid w:val="009B13E2"/>
    <w:rsid w:val="009B1934"/>
    <w:rsid w:val="009B2114"/>
    <w:rsid w:val="009B254E"/>
    <w:rsid w:val="009B2DAD"/>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046"/>
    <w:rsid w:val="009C6102"/>
    <w:rsid w:val="009C7354"/>
    <w:rsid w:val="009C782F"/>
    <w:rsid w:val="009C7B38"/>
    <w:rsid w:val="009C7B7B"/>
    <w:rsid w:val="009C7EC2"/>
    <w:rsid w:val="009D04F0"/>
    <w:rsid w:val="009D0D5B"/>
    <w:rsid w:val="009D0E30"/>
    <w:rsid w:val="009D189D"/>
    <w:rsid w:val="009D19D5"/>
    <w:rsid w:val="009D1A8D"/>
    <w:rsid w:val="009D1CE7"/>
    <w:rsid w:val="009D2408"/>
    <w:rsid w:val="009D2B20"/>
    <w:rsid w:val="009D2D27"/>
    <w:rsid w:val="009D2DED"/>
    <w:rsid w:val="009D3348"/>
    <w:rsid w:val="009D33A6"/>
    <w:rsid w:val="009D4E41"/>
    <w:rsid w:val="009D4E66"/>
    <w:rsid w:val="009D517D"/>
    <w:rsid w:val="009D5A38"/>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042B"/>
    <w:rsid w:val="009F17A8"/>
    <w:rsid w:val="009F1D8D"/>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CB3"/>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9A9"/>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7AB"/>
    <w:rsid w:val="00A34A61"/>
    <w:rsid w:val="00A34E2B"/>
    <w:rsid w:val="00A34FBB"/>
    <w:rsid w:val="00A3500C"/>
    <w:rsid w:val="00A3580C"/>
    <w:rsid w:val="00A3608F"/>
    <w:rsid w:val="00A361EF"/>
    <w:rsid w:val="00A36A2C"/>
    <w:rsid w:val="00A36BE3"/>
    <w:rsid w:val="00A36BF0"/>
    <w:rsid w:val="00A378D7"/>
    <w:rsid w:val="00A37B48"/>
    <w:rsid w:val="00A40DA2"/>
    <w:rsid w:val="00A41570"/>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197"/>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849"/>
    <w:rsid w:val="00A64CEF"/>
    <w:rsid w:val="00A653ED"/>
    <w:rsid w:val="00A665A3"/>
    <w:rsid w:val="00A67150"/>
    <w:rsid w:val="00A67233"/>
    <w:rsid w:val="00A70321"/>
    <w:rsid w:val="00A7090C"/>
    <w:rsid w:val="00A70E4E"/>
    <w:rsid w:val="00A70EF9"/>
    <w:rsid w:val="00A7113E"/>
    <w:rsid w:val="00A714E2"/>
    <w:rsid w:val="00A7236B"/>
    <w:rsid w:val="00A72926"/>
    <w:rsid w:val="00A732CA"/>
    <w:rsid w:val="00A738CF"/>
    <w:rsid w:val="00A752C3"/>
    <w:rsid w:val="00A7531A"/>
    <w:rsid w:val="00A755C7"/>
    <w:rsid w:val="00A75B77"/>
    <w:rsid w:val="00A75F2C"/>
    <w:rsid w:val="00A760A0"/>
    <w:rsid w:val="00A7635B"/>
    <w:rsid w:val="00A7671C"/>
    <w:rsid w:val="00A76998"/>
    <w:rsid w:val="00A76E62"/>
    <w:rsid w:val="00A77A56"/>
    <w:rsid w:val="00A77B28"/>
    <w:rsid w:val="00A77C39"/>
    <w:rsid w:val="00A80241"/>
    <w:rsid w:val="00A80429"/>
    <w:rsid w:val="00A8082F"/>
    <w:rsid w:val="00A80D71"/>
    <w:rsid w:val="00A80DC0"/>
    <w:rsid w:val="00A81872"/>
    <w:rsid w:val="00A8247D"/>
    <w:rsid w:val="00A8286E"/>
    <w:rsid w:val="00A82D0F"/>
    <w:rsid w:val="00A82DE4"/>
    <w:rsid w:val="00A82F68"/>
    <w:rsid w:val="00A837AD"/>
    <w:rsid w:val="00A850A0"/>
    <w:rsid w:val="00A85341"/>
    <w:rsid w:val="00A85E41"/>
    <w:rsid w:val="00A85E51"/>
    <w:rsid w:val="00A86037"/>
    <w:rsid w:val="00A863D3"/>
    <w:rsid w:val="00A866A3"/>
    <w:rsid w:val="00A8699E"/>
    <w:rsid w:val="00A86CE9"/>
    <w:rsid w:val="00A9027C"/>
    <w:rsid w:val="00A91A19"/>
    <w:rsid w:val="00A91B11"/>
    <w:rsid w:val="00A91C92"/>
    <w:rsid w:val="00A9214D"/>
    <w:rsid w:val="00A922AF"/>
    <w:rsid w:val="00A93462"/>
    <w:rsid w:val="00A93994"/>
    <w:rsid w:val="00A942D9"/>
    <w:rsid w:val="00A94D47"/>
    <w:rsid w:val="00A94E20"/>
    <w:rsid w:val="00A94FD7"/>
    <w:rsid w:val="00A9510C"/>
    <w:rsid w:val="00A95360"/>
    <w:rsid w:val="00A95396"/>
    <w:rsid w:val="00A96056"/>
    <w:rsid w:val="00A960F0"/>
    <w:rsid w:val="00A96C17"/>
    <w:rsid w:val="00A978D7"/>
    <w:rsid w:val="00AA05DD"/>
    <w:rsid w:val="00AA06DA"/>
    <w:rsid w:val="00AA0DD6"/>
    <w:rsid w:val="00AA1168"/>
    <w:rsid w:val="00AA1E3C"/>
    <w:rsid w:val="00AA2007"/>
    <w:rsid w:val="00AA2B32"/>
    <w:rsid w:val="00AA31EA"/>
    <w:rsid w:val="00AA3802"/>
    <w:rsid w:val="00AA3E41"/>
    <w:rsid w:val="00AA3E8D"/>
    <w:rsid w:val="00AA3F02"/>
    <w:rsid w:val="00AA46E5"/>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50F7"/>
    <w:rsid w:val="00AB542E"/>
    <w:rsid w:val="00AB5810"/>
    <w:rsid w:val="00AB6877"/>
    <w:rsid w:val="00AB6BCB"/>
    <w:rsid w:val="00AB7C5C"/>
    <w:rsid w:val="00AB7DED"/>
    <w:rsid w:val="00AB7DF0"/>
    <w:rsid w:val="00AB7F6C"/>
    <w:rsid w:val="00AC0EE6"/>
    <w:rsid w:val="00AC30BF"/>
    <w:rsid w:val="00AC339E"/>
    <w:rsid w:val="00AC37F8"/>
    <w:rsid w:val="00AC3880"/>
    <w:rsid w:val="00AC3C33"/>
    <w:rsid w:val="00AC4250"/>
    <w:rsid w:val="00AC4805"/>
    <w:rsid w:val="00AC4ACD"/>
    <w:rsid w:val="00AC53D8"/>
    <w:rsid w:val="00AC5630"/>
    <w:rsid w:val="00AC592F"/>
    <w:rsid w:val="00AC7669"/>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650"/>
    <w:rsid w:val="00AD4C07"/>
    <w:rsid w:val="00AD4CDF"/>
    <w:rsid w:val="00AD52E3"/>
    <w:rsid w:val="00AD5760"/>
    <w:rsid w:val="00AD59E6"/>
    <w:rsid w:val="00AD5BDC"/>
    <w:rsid w:val="00AD5CF3"/>
    <w:rsid w:val="00AD613B"/>
    <w:rsid w:val="00AD6B1A"/>
    <w:rsid w:val="00AD6B44"/>
    <w:rsid w:val="00AE02A7"/>
    <w:rsid w:val="00AE0A38"/>
    <w:rsid w:val="00AE0C85"/>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91D"/>
    <w:rsid w:val="00AF7B56"/>
    <w:rsid w:val="00AF7D37"/>
    <w:rsid w:val="00B00901"/>
    <w:rsid w:val="00B01B49"/>
    <w:rsid w:val="00B0268C"/>
    <w:rsid w:val="00B029EA"/>
    <w:rsid w:val="00B03C42"/>
    <w:rsid w:val="00B04886"/>
    <w:rsid w:val="00B05186"/>
    <w:rsid w:val="00B0524B"/>
    <w:rsid w:val="00B056CF"/>
    <w:rsid w:val="00B063C3"/>
    <w:rsid w:val="00B07204"/>
    <w:rsid w:val="00B076CF"/>
    <w:rsid w:val="00B07FD5"/>
    <w:rsid w:val="00B10062"/>
    <w:rsid w:val="00B10176"/>
    <w:rsid w:val="00B106F8"/>
    <w:rsid w:val="00B10878"/>
    <w:rsid w:val="00B108B7"/>
    <w:rsid w:val="00B108E5"/>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2390"/>
    <w:rsid w:val="00B232AE"/>
    <w:rsid w:val="00B2370C"/>
    <w:rsid w:val="00B23CDF"/>
    <w:rsid w:val="00B24668"/>
    <w:rsid w:val="00B25081"/>
    <w:rsid w:val="00B258BB"/>
    <w:rsid w:val="00B2592F"/>
    <w:rsid w:val="00B2652D"/>
    <w:rsid w:val="00B26E9E"/>
    <w:rsid w:val="00B2732E"/>
    <w:rsid w:val="00B27FB9"/>
    <w:rsid w:val="00B308D0"/>
    <w:rsid w:val="00B3094E"/>
    <w:rsid w:val="00B30E01"/>
    <w:rsid w:val="00B311D1"/>
    <w:rsid w:val="00B3228C"/>
    <w:rsid w:val="00B32748"/>
    <w:rsid w:val="00B32D8F"/>
    <w:rsid w:val="00B33C44"/>
    <w:rsid w:val="00B3506B"/>
    <w:rsid w:val="00B351A2"/>
    <w:rsid w:val="00B36F1A"/>
    <w:rsid w:val="00B37D71"/>
    <w:rsid w:val="00B37EF1"/>
    <w:rsid w:val="00B4113C"/>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3CE"/>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074"/>
    <w:rsid w:val="00B6413C"/>
    <w:rsid w:val="00B64183"/>
    <w:rsid w:val="00B64524"/>
    <w:rsid w:val="00B64F2A"/>
    <w:rsid w:val="00B6571B"/>
    <w:rsid w:val="00B65FE9"/>
    <w:rsid w:val="00B66137"/>
    <w:rsid w:val="00B66747"/>
    <w:rsid w:val="00B66B48"/>
    <w:rsid w:val="00B67B97"/>
    <w:rsid w:val="00B67F5F"/>
    <w:rsid w:val="00B7000A"/>
    <w:rsid w:val="00B712DB"/>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D5A"/>
    <w:rsid w:val="00B84F8D"/>
    <w:rsid w:val="00B85C2C"/>
    <w:rsid w:val="00B85CC9"/>
    <w:rsid w:val="00B8658B"/>
    <w:rsid w:val="00B865FB"/>
    <w:rsid w:val="00B867CC"/>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22A"/>
    <w:rsid w:val="00BD1694"/>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0CBE"/>
    <w:rsid w:val="00BE1353"/>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E7CAA"/>
    <w:rsid w:val="00BF0844"/>
    <w:rsid w:val="00BF0A1C"/>
    <w:rsid w:val="00BF0D54"/>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904"/>
    <w:rsid w:val="00C13F8C"/>
    <w:rsid w:val="00C13F9D"/>
    <w:rsid w:val="00C14125"/>
    <w:rsid w:val="00C14B81"/>
    <w:rsid w:val="00C15F47"/>
    <w:rsid w:val="00C168A0"/>
    <w:rsid w:val="00C1709B"/>
    <w:rsid w:val="00C173E8"/>
    <w:rsid w:val="00C1798B"/>
    <w:rsid w:val="00C17E24"/>
    <w:rsid w:val="00C20171"/>
    <w:rsid w:val="00C2018B"/>
    <w:rsid w:val="00C20432"/>
    <w:rsid w:val="00C20F37"/>
    <w:rsid w:val="00C21441"/>
    <w:rsid w:val="00C21A0E"/>
    <w:rsid w:val="00C228AD"/>
    <w:rsid w:val="00C22A16"/>
    <w:rsid w:val="00C22E96"/>
    <w:rsid w:val="00C2357C"/>
    <w:rsid w:val="00C23641"/>
    <w:rsid w:val="00C24342"/>
    <w:rsid w:val="00C24390"/>
    <w:rsid w:val="00C24785"/>
    <w:rsid w:val="00C24A33"/>
    <w:rsid w:val="00C24C14"/>
    <w:rsid w:val="00C25BC1"/>
    <w:rsid w:val="00C2607F"/>
    <w:rsid w:val="00C2623D"/>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D6"/>
    <w:rsid w:val="00C355FD"/>
    <w:rsid w:val="00C35FDD"/>
    <w:rsid w:val="00C36067"/>
    <w:rsid w:val="00C36E9C"/>
    <w:rsid w:val="00C370A9"/>
    <w:rsid w:val="00C37FC9"/>
    <w:rsid w:val="00C40600"/>
    <w:rsid w:val="00C40BF1"/>
    <w:rsid w:val="00C410B9"/>
    <w:rsid w:val="00C413FE"/>
    <w:rsid w:val="00C41990"/>
    <w:rsid w:val="00C41B64"/>
    <w:rsid w:val="00C41F8C"/>
    <w:rsid w:val="00C4205C"/>
    <w:rsid w:val="00C420EF"/>
    <w:rsid w:val="00C42C1E"/>
    <w:rsid w:val="00C43EC6"/>
    <w:rsid w:val="00C442C4"/>
    <w:rsid w:val="00C443C0"/>
    <w:rsid w:val="00C44402"/>
    <w:rsid w:val="00C444CE"/>
    <w:rsid w:val="00C4465B"/>
    <w:rsid w:val="00C448AF"/>
    <w:rsid w:val="00C45942"/>
    <w:rsid w:val="00C45C3A"/>
    <w:rsid w:val="00C45DC1"/>
    <w:rsid w:val="00C468EE"/>
    <w:rsid w:val="00C46C5D"/>
    <w:rsid w:val="00C46E47"/>
    <w:rsid w:val="00C47460"/>
    <w:rsid w:val="00C50073"/>
    <w:rsid w:val="00C50447"/>
    <w:rsid w:val="00C50861"/>
    <w:rsid w:val="00C50D31"/>
    <w:rsid w:val="00C512B2"/>
    <w:rsid w:val="00C51B65"/>
    <w:rsid w:val="00C51BA6"/>
    <w:rsid w:val="00C51CEF"/>
    <w:rsid w:val="00C53C33"/>
    <w:rsid w:val="00C53F0F"/>
    <w:rsid w:val="00C54215"/>
    <w:rsid w:val="00C545A6"/>
    <w:rsid w:val="00C54613"/>
    <w:rsid w:val="00C54AE7"/>
    <w:rsid w:val="00C550F4"/>
    <w:rsid w:val="00C561C8"/>
    <w:rsid w:val="00C56496"/>
    <w:rsid w:val="00C56907"/>
    <w:rsid w:val="00C570C3"/>
    <w:rsid w:val="00C57882"/>
    <w:rsid w:val="00C60002"/>
    <w:rsid w:val="00C604FF"/>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9E6"/>
    <w:rsid w:val="00C70E0B"/>
    <w:rsid w:val="00C7194E"/>
    <w:rsid w:val="00C725D1"/>
    <w:rsid w:val="00C7270F"/>
    <w:rsid w:val="00C73FE7"/>
    <w:rsid w:val="00C74A84"/>
    <w:rsid w:val="00C758F8"/>
    <w:rsid w:val="00C75B8E"/>
    <w:rsid w:val="00C766CB"/>
    <w:rsid w:val="00C77390"/>
    <w:rsid w:val="00C80F3E"/>
    <w:rsid w:val="00C8101A"/>
    <w:rsid w:val="00C820D4"/>
    <w:rsid w:val="00C8229E"/>
    <w:rsid w:val="00C829D2"/>
    <w:rsid w:val="00C82A9C"/>
    <w:rsid w:val="00C832EE"/>
    <w:rsid w:val="00C833B1"/>
    <w:rsid w:val="00C83454"/>
    <w:rsid w:val="00C83FAB"/>
    <w:rsid w:val="00C8456B"/>
    <w:rsid w:val="00C8485F"/>
    <w:rsid w:val="00C84DEA"/>
    <w:rsid w:val="00C8535E"/>
    <w:rsid w:val="00C85552"/>
    <w:rsid w:val="00C856F5"/>
    <w:rsid w:val="00C85D61"/>
    <w:rsid w:val="00C85DC1"/>
    <w:rsid w:val="00C85F02"/>
    <w:rsid w:val="00C85F44"/>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956"/>
    <w:rsid w:val="00CA2BCF"/>
    <w:rsid w:val="00CA302D"/>
    <w:rsid w:val="00CA3298"/>
    <w:rsid w:val="00CA3950"/>
    <w:rsid w:val="00CA3CDB"/>
    <w:rsid w:val="00CA3E22"/>
    <w:rsid w:val="00CA421E"/>
    <w:rsid w:val="00CA4FC7"/>
    <w:rsid w:val="00CA6114"/>
    <w:rsid w:val="00CA7CC2"/>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4A4"/>
    <w:rsid w:val="00CD5878"/>
    <w:rsid w:val="00CD5F2E"/>
    <w:rsid w:val="00CD6013"/>
    <w:rsid w:val="00CD670C"/>
    <w:rsid w:val="00CD685D"/>
    <w:rsid w:val="00CD69B1"/>
    <w:rsid w:val="00CD6EDB"/>
    <w:rsid w:val="00CD6F5E"/>
    <w:rsid w:val="00CD71A6"/>
    <w:rsid w:val="00CD7203"/>
    <w:rsid w:val="00CD72E2"/>
    <w:rsid w:val="00CD775E"/>
    <w:rsid w:val="00CD7A2B"/>
    <w:rsid w:val="00CD7BA2"/>
    <w:rsid w:val="00CE14F1"/>
    <w:rsid w:val="00CE1804"/>
    <w:rsid w:val="00CE18C7"/>
    <w:rsid w:val="00CE202A"/>
    <w:rsid w:val="00CE240C"/>
    <w:rsid w:val="00CE247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23CF"/>
    <w:rsid w:val="00D42509"/>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C81"/>
    <w:rsid w:val="00D70E09"/>
    <w:rsid w:val="00D72272"/>
    <w:rsid w:val="00D72E6A"/>
    <w:rsid w:val="00D72F7D"/>
    <w:rsid w:val="00D732AA"/>
    <w:rsid w:val="00D73808"/>
    <w:rsid w:val="00D73907"/>
    <w:rsid w:val="00D73BEE"/>
    <w:rsid w:val="00D74756"/>
    <w:rsid w:val="00D747E5"/>
    <w:rsid w:val="00D74DC2"/>
    <w:rsid w:val="00D74E3C"/>
    <w:rsid w:val="00D74FC0"/>
    <w:rsid w:val="00D75E9D"/>
    <w:rsid w:val="00D75F40"/>
    <w:rsid w:val="00D77105"/>
    <w:rsid w:val="00D77586"/>
    <w:rsid w:val="00D7765E"/>
    <w:rsid w:val="00D77E74"/>
    <w:rsid w:val="00D805CA"/>
    <w:rsid w:val="00D80AF4"/>
    <w:rsid w:val="00D80CCA"/>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AF0"/>
    <w:rsid w:val="00D96E46"/>
    <w:rsid w:val="00D9759B"/>
    <w:rsid w:val="00D977A1"/>
    <w:rsid w:val="00D979E9"/>
    <w:rsid w:val="00D97CD4"/>
    <w:rsid w:val="00D97FB7"/>
    <w:rsid w:val="00DA05FD"/>
    <w:rsid w:val="00DA1CCC"/>
    <w:rsid w:val="00DA1CFA"/>
    <w:rsid w:val="00DA32D5"/>
    <w:rsid w:val="00DA3FE2"/>
    <w:rsid w:val="00DA45A5"/>
    <w:rsid w:val="00DA5562"/>
    <w:rsid w:val="00DA67B9"/>
    <w:rsid w:val="00DA723B"/>
    <w:rsid w:val="00DA72E7"/>
    <w:rsid w:val="00DA763D"/>
    <w:rsid w:val="00DA7C66"/>
    <w:rsid w:val="00DA7F17"/>
    <w:rsid w:val="00DB0117"/>
    <w:rsid w:val="00DB024E"/>
    <w:rsid w:val="00DB07CF"/>
    <w:rsid w:val="00DB0AE6"/>
    <w:rsid w:val="00DB1066"/>
    <w:rsid w:val="00DB146C"/>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5EC"/>
    <w:rsid w:val="00DC3605"/>
    <w:rsid w:val="00DC380D"/>
    <w:rsid w:val="00DC42EF"/>
    <w:rsid w:val="00DC4A61"/>
    <w:rsid w:val="00DC4B09"/>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670D"/>
    <w:rsid w:val="00DD7550"/>
    <w:rsid w:val="00DD7762"/>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F04"/>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062"/>
    <w:rsid w:val="00E063CF"/>
    <w:rsid w:val="00E0689A"/>
    <w:rsid w:val="00E06E9E"/>
    <w:rsid w:val="00E10AA9"/>
    <w:rsid w:val="00E111CC"/>
    <w:rsid w:val="00E11CB2"/>
    <w:rsid w:val="00E11D95"/>
    <w:rsid w:val="00E122E8"/>
    <w:rsid w:val="00E12A58"/>
    <w:rsid w:val="00E12BD7"/>
    <w:rsid w:val="00E12DA6"/>
    <w:rsid w:val="00E13454"/>
    <w:rsid w:val="00E13F9B"/>
    <w:rsid w:val="00E146FA"/>
    <w:rsid w:val="00E147A5"/>
    <w:rsid w:val="00E15ADA"/>
    <w:rsid w:val="00E15AF4"/>
    <w:rsid w:val="00E169FF"/>
    <w:rsid w:val="00E16C1C"/>
    <w:rsid w:val="00E16C2D"/>
    <w:rsid w:val="00E20926"/>
    <w:rsid w:val="00E22033"/>
    <w:rsid w:val="00E22563"/>
    <w:rsid w:val="00E22611"/>
    <w:rsid w:val="00E22781"/>
    <w:rsid w:val="00E22983"/>
    <w:rsid w:val="00E23074"/>
    <w:rsid w:val="00E239F3"/>
    <w:rsid w:val="00E23B25"/>
    <w:rsid w:val="00E241AF"/>
    <w:rsid w:val="00E2471D"/>
    <w:rsid w:val="00E2498F"/>
    <w:rsid w:val="00E252F3"/>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5"/>
    <w:rsid w:val="00E346B9"/>
    <w:rsid w:val="00E349A7"/>
    <w:rsid w:val="00E34E5A"/>
    <w:rsid w:val="00E35295"/>
    <w:rsid w:val="00E36AAA"/>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BA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EAD"/>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54E"/>
    <w:rsid w:val="00E65BEF"/>
    <w:rsid w:val="00E65EF9"/>
    <w:rsid w:val="00E66139"/>
    <w:rsid w:val="00E666B8"/>
    <w:rsid w:val="00E66BD2"/>
    <w:rsid w:val="00E671D5"/>
    <w:rsid w:val="00E67A2C"/>
    <w:rsid w:val="00E709FF"/>
    <w:rsid w:val="00E721E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261C"/>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278"/>
    <w:rsid w:val="00E953A1"/>
    <w:rsid w:val="00E957DE"/>
    <w:rsid w:val="00E95F3D"/>
    <w:rsid w:val="00E969E2"/>
    <w:rsid w:val="00E97CCD"/>
    <w:rsid w:val="00E97FED"/>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3D14"/>
    <w:rsid w:val="00EE4108"/>
    <w:rsid w:val="00EE4412"/>
    <w:rsid w:val="00EE4AAA"/>
    <w:rsid w:val="00EE4BB4"/>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175"/>
    <w:rsid w:val="00EF447F"/>
    <w:rsid w:val="00EF4F35"/>
    <w:rsid w:val="00EF5139"/>
    <w:rsid w:val="00EF636F"/>
    <w:rsid w:val="00EF6C05"/>
    <w:rsid w:val="00EF7F13"/>
    <w:rsid w:val="00EF7F53"/>
    <w:rsid w:val="00F004F3"/>
    <w:rsid w:val="00F00896"/>
    <w:rsid w:val="00F00C14"/>
    <w:rsid w:val="00F01115"/>
    <w:rsid w:val="00F0118A"/>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17EAD"/>
    <w:rsid w:val="00F20554"/>
    <w:rsid w:val="00F207AC"/>
    <w:rsid w:val="00F21206"/>
    <w:rsid w:val="00F214E2"/>
    <w:rsid w:val="00F21CE0"/>
    <w:rsid w:val="00F21DA7"/>
    <w:rsid w:val="00F226A8"/>
    <w:rsid w:val="00F23367"/>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510"/>
    <w:rsid w:val="00F358DC"/>
    <w:rsid w:val="00F35C9B"/>
    <w:rsid w:val="00F37440"/>
    <w:rsid w:val="00F37F16"/>
    <w:rsid w:val="00F406C3"/>
    <w:rsid w:val="00F410DC"/>
    <w:rsid w:val="00F411DA"/>
    <w:rsid w:val="00F418B2"/>
    <w:rsid w:val="00F418E6"/>
    <w:rsid w:val="00F41E33"/>
    <w:rsid w:val="00F424E6"/>
    <w:rsid w:val="00F42692"/>
    <w:rsid w:val="00F42990"/>
    <w:rsid w:val="00F42B40"/>
    <w:rsid w:val="00F43165"/>
    <w:rsid w:val="00F44D14"/>
    <w:rsid w:val="00F45317"/>
    <w:rsid w:val="00F458BA"/>
    <w:rsid w:val="00F46E57"/>
    <w:rsid w:val="00F46EBB"/>
    <w:rsid w:val="00F470EE"/>
    <w:rsid w:val="00F47848"/>
    <w:rsid w:val="00F50713"/>
    <w:rsid w:val="00F5078D"/>
    <w:rsid w:val="00F51369"/>
    <w:rsid w:val="00F5179A"/>
    <w:rsid w:val="00F52A68"/>
    <w:rsid w:val="00F52E78"/>
    <w:rsid w:val="00F52E83"/>
    <w:rsid w:val="00F530F4"/>
    <w:rsid w:val="00F53192"/>
    <w:rsid w:val="00F537EA"/>
    <w:rsid w:val="00F54E40"/>
    <w:rsid w:val="00F54FA6"/>
    <w:rsid w:val="00F55223"/>
    <w:rsid w:val="00F55629"/>
    <w:rsid w:val="00F56292"/>
    <w:rsid w:val="00F57131"/>
    <w:rsid w:val="00F5739F"/>
    <w:rsid w:val="00F60510"/>
    <w:rsid w:val="00F606AB"/>
    <w:rsid w:val="00F6076C"/>
    <w:rsid w:val="00F61B42"/>
    <w:rsid w:val="00F61BC7"/>
    <w:rsid w:val="00F62350"/>
    <w:rsid w:val="00F6295C"/>
    <w:rsid w:val="00F62C03"/>
    <w:rsid w:val="00F62C5F"/>
    <w:rsid w:val="00F6320C"/>
    <w:rsid w:val="00F633A0"/>
    <w:rsid w:val="00F637DF"/>
    <w:rsid w:val="00F63A61"/>
    <w:rsid w:val="00F6477C"/>
    <w:rsid w:val="00F64C89"/>
    <w:rsid w:val="00F65442"/>
    <w:rsid w:val="00F67155"/>
    <w:rsid w:val="00F675EF"/>
    <w:rsid w:val="00F67B12"/>
    <w:rsid w:val="00F67D90"/>
    <w:rsid w:val="00F70709"/>
    <w:rsid w:val="00F7215B"/>
    <w:rsid w:val="00F723CB"/>
    <w:rsid w:val="00F725AE"/>
    <w:rsid w:val="00F72ED7"/>
    <w:rsid w:val="00F73727"/>
    <w:rsid w:val="00F7376A"/>
    <w:rsid w:val="00F742A7"/>
    <w:rsid w:val="00F745D5"/>
    <w:rsid w:val="00F7629D"/>
    <w:rsid w:val="00F7697E"/>
    <w:rsid w:val="00F777D0"/>
    <w:rsid w:val="00F808AE"/>
    <w:rsid w:val="00F81510"/>
    <w:rsid w:val="00F825CE"/>
    <w:rsid w:val="00F83B2E"/>
    <w:rsid w:val="00F8443A"/>
    <w:rsid w:val="00F847B7"/>
    <w:rsid w:val="00F84FD0"/>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6E73"/>
    <w:rsid w:val="00FA75B6"/>
    <w:rsid w:val="00FA782F"/>
    <w:rsid w:val="00FA7CDB"/>
    <w:rsid w:val="00FB0444"/>
    <w:rsid w:val="00FB1CA3"/>
    <w:rsid w:val="00FB1CC6"/>
    <w:rsid w:val="00FB2174"/>
    <w:rsid w:val="00FB2AC1"/>
    <w:rsid w:val="00FB2E04"/>
    <w:rsid w:val="00FB3D73"/>
    <w:rsid w:val="00FB4A5C"/>
    <w:rsid w:val="00FB62F8"/>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4F4C"/>
    <w:rsid w:val="00FC58E6"/>
    <w:rsid w:val="00FC5BDB"/>
    <w:rsid w:val="00FC5CB4"/>
    <w:rsid w:val="00FC5F54"/>
    <w:rsid w:val="00FC640D"/>
    <w:rsid w:val="00FC69B0"/>
    <w:rsid w:val="00FC6C3A"/>
    <w:rsid w:val="00FC70C7"/>
    <w:rsid w:val="00FC731E"/>
    <w:rsid w:val="00FC7BBB"/>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6712"/>
    <w:rsid w:val="00FD730B"/>
    <w:rsid w:val="00FD741D"/>
    <w:rsid w:val="00FD779D"/>
    <w:rsid w:val="00FD7DA0"/>
    <w:rsid w:val="00FE02EF"/>
    <w:rsid w:val="00FE038A"/>
    <w:rsid w:val="00FE051E"/>
    <w:rsid w:val="00FE139E"/>
    <w:rsid w:val="00FE18CA"/>
    <w:rsid w:val="00FE1CA8"/>
    <w:rsid w:val="00FE1EA1"/>
    <w:rsid w:val="00FE212B"/>
    <w:rsid w:val="00FE3046"/>
    <w:rsid w:val="00FE31AB"/>
    <w:rsid w:val="00FE350B"/>
    <w:rsid w:val="00FE388D"/>
    <w:rsid w:val="00FE47D6"/>
    <w:rsid w:val="00FE524B"/>
    <w:rsid w:val="00FE5907"/>
    <w:rsid w:val="00FE5E34"/>
    <w:rsid w:val="00FE6521"/>
    <w:rsid w:val="00FE7538"/>
    <w:rsid w:val="00FF0CCB"/>
    <w:rsid w:val="00FF1115"/>
    <w:rsid w:val="00FF1A26"/>
    <w:rsid w:val="00FF24AD"/>
    <w:rsid w:val="00FF2BBF"/>
    <w:rsid w:val="00FF2E57"/>
    <w:rsid w:val="00FF2F7F"/>
    <w:rsid w:val="00FF303F"/>
    <w:rsid w:val="00FF4565"/>
    <w:rsid w:val="00FF4A5C"/>
    <w:rsid w:val="00FF56EC"/>
    <w:rsid w:val="00FF56F4"/>
    <w:rsid w:val="00FF56F9"/>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C3C33"/>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0"/>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0"/>
    <w:link w:val="21"/>
    <w:qFormat/>
    <w:rsid w:val="004049AD"/>
    <w:pPr>
      <w:pBdr>
        <w:top w:val="none" w:sz="0" w:space="0" w:color="auto"/>
      </w:pBdr>
      <w:spacing w:before="180"/>
      <w:outlineLvl w:val="1"/>
    </w:pPr>
    <w:rPr>
      <w:sz w:val="32"/>
    </w:rPr>
  </w:style>
  <w:style w:type="paragraph" w:styleId="3">
    <w:name w:val="heading 3"/>
    <w:basedOn w:val="20"/>
    <w:next w:val="a0"/>
    <w:link w:val="30"/>
    <w:qFormat/>
    <w:rsid w:val="004049AD"/>
    <w:pPr>
      <w:spacing w:before="120"/>
      <w:outlineLvl w:val="2"/>
    </w:pPr>
    <w:rPr>
      <w:sz w:val="28"/>
    </w:rPr>
  </w:style>
  <w:style w:type="paragraph" w:styleId="4">
    <w:name w:val="heading 4"/>
    <w:basedOn w:val="3"/>
    <w:next w:val="a0"/>
    <w:qFormat/>
    <w:rsid w:val="004049AD"/>
    <w:pPr>
      <w:ind w:left="1418" w:hanging="1418"/>
      <w:outlineLvl w:val="3"/>
    </w:pPr>
    <w:rPr>
      <w:sz w:val="24"/>
    </w:rPr>
  </w:style>
  <w:style w:type="paragraph" w:styleId="5">
    <w:name w:val="heading 5"/>
    <w:basedOn w:val="4"/>
    <w:next w:val="a0"/>
    <w:qFormat/>
    <w:rsid w:val="004049AD"/>
    <w:pPr>
      <w:ind w:left="1701" w:hanging="1701"/>
      <w:outlineLvl w:val="4"/>
    </w:pPr>
    <w:rPr>
      <w:sz w:val="22"/>
    </w:rPr>
  </w:style>
  <w:style w:type="paragraph" w:styleId="6">
    <w:name w:val="heading 6"/>
    <w:basedOn w:val="H6"/>
    <w:next w:val="a0"/>
    <w:qFormat/>
    <w:rsid w:val="004049AD"/>
    <w:pPr>
      <w:outlineLvl w:val="5"/>
    </w:pPr>
  </w:style>
  <w:style w:type="paragraph" w:styleId="7">
    <w:name w:val="heading 7"/>
    <w:basedOn w:val="H6"/>
    <w:next w:val="a0"/>
    <w:qFormat/>
    <w:rsid w:val="004049AD"/>
    <w:pPr>
      <w:outlineLvl w:val="6"/>
    </w:pPr>
  </w:style>
  <w:style w:type="paragraph" w:styleId="8">
    <w:name w:val="heading 8"/>
    <w:basedOn w:val="1"/>
    <w:next w:val="a0"/>
    <w:qFormat/>
    <w:rsid w:val="004049AD"/>
    <w:pPr>
      <w:ind w:left="0" w:firstLine="0"/>
      <w:outlineLvl w:val="7"/>
    </w:pPr>
  </w:style>
  <w:style w:type="paragraph" w:styleId="9">
    <w:name w:val="heading 9"/>
    <w:basedOn w:val="8"/>
    <w:next w:val="a0"/>
    <w:qFormat/>
    <w:rsid w:val="004049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0"/>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4049AD"/>
    <w:pPr>
      <w:outlineLvl w:val="9"/>
    </w:pPr>
  </w:style>
  <w:style w:type="paragraph" w:styleId="23">
    <w:name w:val="List Number 2"/>
    <w:basedOn w:val="a4"/>
    <w:rsid w:val="004049AD"/>
    <w:pPr>
      <w:ind w:left="851"/>
    </w:pPr>
  </w:style>
  <w:style w:type="paragraph" w:styleId="a5">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1"/>
    <w:semiHidden/>
    <w:rsid w:val="004049AD"/>
    <w:rPr>
      <w:b/>
      <w:position w:val="6"/>
      <w:sz w:val="16"/>
    </w:rPr>
  </w:style>
  <w:style w:type="paragraph" w:styleId="a7">
    <w:name w:val="footnote text"/>
    <w:basedOn w:val="a0"/>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0"/>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0"/>
    <w:rsid w:val="004049AD"/>
    <w:pPr>
      <w:keepLines/>
      <w:ind w:left="1702" w:hanging="1418"/>
    </w:pPr>
  </w:style>
  <w:style w:type="paragraph" w:customStyle="1" w:styleId="FP">
    <w:name w:val="FP"/>
    <w:basedOn w:val="a0"/>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0"/>
    <w:semiHidden/>
    <w:rsid w:val="004049AD"/>
    <w:pPr>
      <w:ind w:left="1985" w:hanging="1985"/>
    </w:pPr>
  </w:style>
  <w:style w:type="paragraph" w:styleId="TOC7">
    <w:name w:val="toc 7"/>
    <w:basedOn w:val="TOC6"/>
    <w:next w:val="a0"/>
    <w:semiHidden/>
    <w:rsid w:val="004049AD"/>
    <w:pPr>
      <w:ind w:left="2268" w:hanging="2268"/>
    </w:pPr>
  </w:style>
  <w:style w:type="paragraph" w:styleId="24">
    <w:name w:val="List Bullet 2"/>
    <w:basedOn w:val="a8"/>
    <w:rsid w:val="004049AD"/>
    <w:pPr>
      <w:ind w:left="851"/>
    </w:pPr>
  </w:style>
  <w:style w:type="paragraph" w:styleId="31">
    <w:name w:val="List Bullet 3"/>
    <w:basedOn w:val="24"/>
    <w:rsid w:val="004049AD"/>
    <w:pPr>
      <w:ind w:left="1135"/>
    </w:pPr>
  </w:style>
  <w:style w:type="paragraph" w:styleId="a4">
    <w:name w:val="List Number"/>
    <w:basedOn w:val="a9"/>
    <w:rsid w:val="004049AD"/>
  </w:style>
  <w:style w:type="paragraph" w:customStyle="1" w:styleId="EQ">
    <w:name w:val="EQ"/>
    <w:basedOn w:val="a0"/>
    <w:next w:val="a0"/>
    <w:rsid w:val="004049AD"/>
    <w:pPr>
      <w:keepLines/>
      <w:tabs>
        <w:tab w:val="center" w:pos="4536"/>
        <w:tab w:val="right" w:pos="9072"/>
      </w:tabs>
    </w:pPr>
    <w:rPr>
      <w:noProof/>
    </w:rPr>
  </w:style>
  <w:style w:type="paragraph" w:customStyle="1" w:styleId="TH">
    <w:name w:val="TH"/>
    <w:basedOn w:val="a0"/>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0"/>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0"/>
    <w:link w:val="TALCar"/>
    <w:uiPriority w:val="99"/>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9"/>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9">
    <w:name w:val="List"/>
    <w:basedOn w:val="a0"/>
    <w:rsid w:val="004049AD"/>
    <w:pPr>
      <w:ind w:left="568" w:hanging="284"/>
    </w:pPr>
  </w:style>
  <w:style w:type="paragraph" w:styleId="a8">
    <w:name w:val="List Bullet"/>
    <w:basedOn w:val="a9"/>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9"/>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a">
    <w:name w:val="footer"/>
    <w:basedOn w:val="a5"/>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qFormat/>
    <w:rPr>
      <w:color w:val="0000FF"/>
      <w:u w:val="single"/>
    </w:rPr>
  </w:style>
  <w:style w:type="character" w:styleId="ac">
    <w:name w:val="annotation reference"/>
    <w:qFormat/>
    <w:rPr>
      <w:sz w:val="16"/>
    </w:rPr>
  </w:style>
  <w:style w:type="paragraph" w:styleId="ad">
    <w:name w:val="annotation text"/>
    <w:basedOn w:val="a0"/>
    <w:link w:val="ae"/>
    <w:uiPriority w:val="99"/>
    <w:qFormat/>
  </w:style>
  <w:style w:type="character" w:styleId="af">
    <w:name w:val="FollowedHyperlink"/>
    <w:rPr>
      <w:color w:val="800080"/>
      <w:u w:val="single"/>
    </w:rPr>
  </w:style>
  <w:style w:type="paragraph" w:styleId="af0">
    <w:name w:val="Balloon Text"/>
    <w:basedOn w:val="a0"/>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0"/>
    <w:link w:val="af3"/>
    <w:autoRedefine/>
    <w:uiPriority w:val="34"/>
    <w:qFormat/>
    <w:rsid w:val="009B2DAD"/>
    <w:pPr>
      <w:numPr>
        <w:numId w:val="4"/>
      </w:numPr>
      <w:spacing w:after="0"/>
      <w:jc w:val="both"/>
    </w:pPr>
    <w:rPr>
      <w:rFonts w:eastAsia="Times New Roman" w:cs="宋体"/>
      <w:sz w:val="21"/>
      <w:szCs w:val="21"/>
      <w:lang w:val="en-US"/>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3"/>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0"/>
    <w:next w:val="a0"/>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2"/>
      </w:numPr>
      <w:snapToGrid w:val="0"/>
      <w:spacing w:after="60"/>
      <w:jc w:val="both"/>
    </w:pPr>
    <w:rPr>
      <w:szCs w:val="16"/>
      <w:lang w:val="en-US"/>
    </w:rPr>
  </w:style>
  <w:style w:type="character" w:customStyle="1" w:styleId="12">
    <w:name w:val="页眉 字符1"/>
    <w:link w:val="a5"/>
    <w:rsid w:val="0077305B"/>
    <w:rPr>
      <w:rFonts w:ascii="Arial" w:hAnsi="Arial"/>
      <w:b/>
      <w:noProof/>
      <w:sz w:val="18"/>
    </w:rPr>
  </w:style>
  <w:style w:type="paragraph" w:customStyle="1" w:styleId="Agreement">
    <w:name w:val="Agreement"/>
    <w:basedOn w:val="a0"/>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0"/>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0"/>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0"/>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2"/>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0"/>
    <w:next w:val="a0"/>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
    <w:uiPriority w:val="34"/>
    <w:qFormat/>
    <w:locked/>
    <w:rsid w:val="009B2DAD"/>
    <w:rPr>
      <w:rFonts w:ascii="Times New Roman" w:eastAsia="Times New Roman" w:hAnsi="Times New Roman"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Doc-title">
    <w:name w:val="Doc-title"/>
    <w:basedOn w:val="a0"/>
    <w:next w:val="Doc-text2"/>
    <w:link w:val="Doc-titleChar"/>
    <w:qFormat/>
    <w:rsid w:val="00051899"/>
    <w:pPr>
      <w:spacing w:before="60" w:after="120"/>
      <w:ind w:left="1259" w:hanging="1259"/>
      <w:jc w:val="both"/>
      <w:textAlignment w:val="auto"/>
    </w:pPr>
    <w:rPr>
      <w:rFonts w:ascii="Arial" w:eastAsia="Batang" w:hAnsi="Arial"/>
      <w:noProof/>
    </w:rPr>
  </w:style>
  <w:style w:type="character" w:customStyle="1" w:styleId="Doc-titleChar">
    <w:name w:val="Doc-title Char"/>
    <w:link w:val="Doc-title"/>
    <w:qFormat/>
    <w:rsid w:val="00051899"/>
    <w:rPr>
      <w:rFonts w:ascii="Arial" w:eastAsia="Batang" w:hAnsi="Arial"/>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6648936">
      <w:bodyDiv w:val="1"/>
      <w:marLeft w:val="0"/>
      <w:marRight w:val="0"/>
      <w:marTop w:val="0"/>
      <w:marBottom w:val="0"/>
      <w:divBdr>
        <w:top w:val="none" w:sz="0" w:space="0" w:color="auto"/>
        <w:left w:val="none" w:sz="0" w:space="0" w:color="auto"/>
        <w:bottom w:val="none" w:sz="0" w:space="0" w:color="auto"/>
        <w:right w:val="none" w:sz="0" w:space="0" w:color="auto"/>
      </w:divBdr>
    </w:div>
    <w:div w:id="844246987">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36735634">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8657206">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5222122">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298250">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47023431">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http://www.beidou.gov.cn/xt/gfxz/202008/P020230516558683155109.pdf" TargetMode="Externa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8E1E5-2B45-4583-9F35-E614C775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4281</TotalTime>
  <Pages>1</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331</cp:revision>
  <dcterms:created xsi:type="dcterms:W3CDTF">2024-05-03T12:36:00Z</dcterms:created>
  <dcterms:modified xsi:type="dcterms:W3CDTF">2024-11-08T06:52:00Z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(3)YXqsVXEJUjlJguLaa9cRhYzTpH+i+IMFa5fE6miEaFalpWHmP9fqnc0ifZEHKTBqPKm75FNn
tNvxOkPLzd8cAWlagDWkktr6aLUmF4EVH4wz+IJ69V9cnum8/3wibkKiQq4VoZBJjFPehMvb
MSbZniMis6N07GuSdDQwQ5CXdGKCJ1HjNRY4ZZ0X9z837XODcJpQsbLPBQsvL4e6hScVO3NU
NwDwCU4q92oD/wlgGI</vt:lpwstr>
  </property>
  <property fmtid="{D5CDD505-2E9C-101B-9397-08002B2CF9AE}" pid="4" name="_2015_ms_pID_7253431">
    <vt:lpwstr>kwTcoEi4WUkhEJPmUAZLQ9982C7Ywc6ZWTtsxyZxOQ6MjR0YGfPc+V
DGfjfXMAoFTBqnO2Yzx7vQJVfpbDT/xtwcgkBzDPGYP/oktvoSl5Jm7QZMMqp+Lqm/CUUk0g
WIHCHPaJxXL26fnH7PnZ/QT3xZvmqmESgWkrq9LBb+zP867diYu2VEp9qtC6AdnTBZYTdzVy
ZnmEX0wSKVBlaMCs1EFPROaHLgl/lX6sOg9V</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1715093221</vt:lpwstr>
  </property>
</Properties>
</file>